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3EAF1B" w14:textId="363662C3" w:rsidR="00514044" w:rsidRPr="00514044" w:rsidRDefault="00514044" w:rsidP="0023668B">
      <w:pPr>
        <w:spacing w:after="0" w:line="240" w:lineRule="auto"/>
        <w:jc w:val="both"/>
        <w:rPr>
          <w:rFonts w:ascii="Calibri Light" w:eastAsia="Times New Roman" w:hAnsi="Calibri Light" w:cs="Calibri Light"/>
          <w:b/>
          <w:bCs/>
          <w:i/>
          <w:iCs/>
          <w:sz w:val="24"/>
          <w:szCs w:val="24"/>
          <w:lang w:eastAsia="en-IE"/>
        </w:rPr>
      </w:pPr>
      <w:r w:rsidRPr="00514044">
        <w:rPr>
          <w:rFonts w:ascii="Calibri Light" w:eastAsia="Times New Roman" w:hAnsi="Calibri Light" w:cs="Calibri Light"/>
          <w:b/>
          <w:bCs/>
          <w:i/>
          <w:iCs/>
          <w:sz w:val="24"/>
          <w:szCs w:val="24"/>
          <w:lang w:eastAsia="en-IE"/>
        </w:rPr>
        <w:t xml:space="preserve">Note: </w:t>
      </w:r>
      <w:r w:rsidR="0023668B" w:rsidRPr="00945EA9">
        <w:rPr>
          <w:rFonts w:ascii="Calibri Light" w:eastAsia="Times New Roman" w:hAnsi="Calibri Light" w:cs="Calibri Light"/>
          <w:b/>
          <w:bCs/>
          <w:i/>
          <w:iCs/>
          <w:sz w:val="24"/>
          <w:szCs w:val="24"/>
          <w:lang w:eastAsia="en-IE"/>
        </w:rPr>
        <w:t xml:space="preserve"> </w:t>
      </w:r>
      <w:r w:rsidRPr="00514044">
        <w:rPr>
          <w:rFonts w:ascii="Calibri Light" w:eastAsia="Times New Roman" w:hAnsi="Calibri Light" w:cs="Calibri Light"/>
          <w:b/>
          <w:bCs/>
          <w:i/>
          <w:iCs/>
          <w:sz w:val="24"/>
          <w:szCs w:val="24"/>
          <w:lang w:eastAsia="en-IE"/>
        </w:rPr>
        <w:t>For Adjustment entries in Books of Accounts due to Different Treatment of ITC in GSTR-3B and In Books of Accounts</w:t>
      </w:r>
    </w:p>
    <w:p w14:paraId="79D07798" w14:textId="77777777" w:rsidR="00514044" w:rsidRPr="00514044" w:rsidRDefault="00514044" w:rsidP="0023668B">
      <w:pPr>
        <w:spacing w:after="0" w:line="240" w:lineRule="auto"/>
        <w:jc w:val="both"/>
        <w:rPr>
          <w:rFonts w:ascii="Times New Roman" w:eastAsia="Times New Roman" w:hAnsi="Times New Roman" w:cs="Times New Roman"/>
          <w:sz w:val="24"/>
          <w:szCs w:val="24"/>
          <w:lang w:eastAsia="en-IE"/>
        </w:rPr>
      </w:pPr>
    </w:p>
    <w:p w14:paraId="4D890BC9" w14:textId="26274E78" w:rsidR="00514044" w:rsidRPr="00B61A44" w:rsidRDefault="00514044" w:rsidP="00846143">
      <w:pPr>
        <w:pStyle w:val="ListParagraph"/>
        <w:numPr>
          <w:ilvl w:val="0"/>
          <w:numId w:val="1"/>
        </w:numPr>
        <w:spacing w:after="0" w:line="240" w:lineRule="auto"/>
        <w:jc w:val="both"/>
        <w:rPr>
          <w:rFonts w:ascii="Comic Sans MS" w:eastAsia="Times New Roman" w:hAnsi="Comic Sans MS" w:cs="Times New Roman"/>
          <w:b/>
          <w:bCs/>
          <w:sz w:val="26"/>
          <w:szCs w:val="26"/>
          <w:highlight w:val="lightGray"/>
          <w:u w:val="single"/>
          <w:lang w:eastAsia="en-IE"/>
        </w:rPr>
      </w:pPr>
      <w:r w:rsidRPr="00B61A44">
        <w:rPr>
          <w:rFonts w:ascii="Comic Sans MS" w:eastAsia="Times New Roman" w:hAnsi="Comic Sans MS" w:cs="Calibri Light"/>
          <w:b/>
          <w:bCs/>
          <w:sz w:val="26"/>
          <w:szCs w:val="26"/>
          <w:highlight w:val="lightGray"/>
          <w:u w:val="single"/>
          <w:lang w:eastAsia="en-IE"/>
        </w:rPr>
        <w:t xml:space="preserve">Treatment in GSTR-3B as per </w:t>
      </w:r>
      <w:r w:rsidR="00B61A44">
        <w:rPr>
          <w:rFonts w:ascii="Comic Sans MS" w:eastAsia="Times New Roman" w:hAnsi="Comic Sans MS" w:cs="Calibri Light"/>
          <w:b/>
          <w:bCs/>
          <w:sz w:val="26"/>
          <w:szCs w:val="26"/>
          <w:highlight w:val="lightGray"/>
          <w:u w:val="single"/>
          <w:lang w:eastAsia="en-IE"/>
        </w:rPr>
        <w:t>f</w:t>
      </w:r>
      <w:r w:rsidRPr="00B61A44">
        <w:rPr>
          <w:rFonts w:ascii="Comic Sans MS" w:eastAsia="Times New Roman" w:hAnsi="Comic Sans MS" w:cs="Calibri Light"/>
          <w:b/>
          <w:bCs/>
          <w:sz w:val="26"/>
          <w:szCs w:val="26"/>
          <w:highlight w:val="lightGray"/>
          <w:u w:val="single"/>
          <w:lang w:eastAsia="en-IE"/>
        </w:rPr>
        <w:t>ollowing Provision</w:t>
      </w:r>
      <w:r w:rsidR="00B61A44">
        <w:rPr>
          <w:rFonts w:ascii="Comic Sans MS" w:eastAsia="Times New Roman" w:hAnsi="Comic Sans MS" w:cs="Calibri Light"/>
          <w:b/>
          <w:bCs/>
          <w:sz w:val="26"/>
          <w:szCs w:val="26"/>
          <w:highlight w:val="lightGray"/>
          <w:u w:val="single"/>
          <w:lang w:eastAsia="en-IE"/>
        </w:rPr>
        <w:t xml:space="preserve"> in GST Act</w:t>
      </w:r>
    </w:p>
    <w:p w14:paraId="1D960ABE" w14:textId="77777777" w:rsidR="00514044" w:rsidRPr="00514044" w:rsidRDefault="00514044" w:rsidP="0023668B">
      <w:pPr>
        <w:spacing w:after="0" w:line="240" w:lineRule="auto"/>
        <w:jc w:val="both"/>
        <w:rPr>
          <w:rFonts w:ascii="Times New Roman" w:eastAsia="Times New Roman" w:hAnsi="Times New Roman" w:cs="Times New Roman"/>
          <w:sz w:val="24"/>
          <w:szCs w:val="24"/>
          <w:lang w:eastAsia="en-IE"/>
        </w:rPr>
      </w:pPr>
    </w:p>
    <w:p w14:paraId="2026E402" w14:textId="77777777" w:rsidR="00514044" w:rsidRPr="00DF049A" w:rsidRDefault="00514044" w:rsidP="00DF049A">
      <w:pPr>
        <w:pStyle w:val="ListParagraph"/>
        <w:numPr>
          <w:ilvl w:val="0"/>
          <w:numId w:val="4"/>
        </w:numPr>
        <w:spacing w:after="0" w:line="240" w:lineRule="auto"/>
        <w:jc w:val="both"/>
        <w:rPr>
          <w:rFonts w:ascii="Times New Roman" w:eastAsia="Times New Roman" w:hAnsi="Times New Roman" w:cs="Times New Roman"/>
          <w:sz w:val="24"/>
          <w:szCs w:val="24"/>
          <w:lang w:eastAsia="en-IE"/>
        </w:rPr>
      </w:pPr>
      <w:r w:rsidRPr="00DF049A">
        <w:rPr>
          <w:rFonts w:ascii="Calibri Light" w:eastAsia="Times New Roman" w:hAnsi="Calibri Light" w:cs="Calibri Light"/>
          <w:b/>
          <w:bCs/>
          <w:sz w:val="24"/>
          <w:szCs w:val="24"/>
          <w:lang w:eastAsia="en-IE"/>
        </w:rPr>
        <w:t xml:space="preserve">With effect from 09.10.2019, </w:t>
      </w:r>
      <w:r w:rsidRPr="00DF049A">
        <w:rPr>
          <w:rFonts w:ascii="Calibri Light" w:eastAsia="Times New Roman" w:hAnsi="Calibri Light" w:cs="Calibri Light"/>
          <w:sz w:val="24"/>
          <w:szCs w:val="24"/>
          <w:lang w:eastAsia="en-IE"/>
        </w:rPr>
        <w:t xml:space="preserve">a new sub-rule (4) has been introduced in rule 36 vide </w:t>
      </w:r>
      <w:r w:rsidRPr="00DF049A">
        <w:rPr>
          <w:rFonts w:ascii="Calibri Light" w:eastAsia="Times New Roman" w:hAnsi="Calibri Light" w:cs="Calibri Light"/>
          <w:b/>
          <w:bCs/>
          <w:i/>
          <w:iCs/>
          <w:sz w:val="24"/>
          <w:szCs w:val="24"/>
          <w:lang w:eastAsia="en-IE"/>
        </w:rPr>
        <w:t xml:space="preserve">Notification No. 49/2019 CT dated 09.10.2019 </w:t>
      </w:r>
      <w:r w:rsidRPr="00DF049A">
        <w:rPr>
          <w:rFonts w:ascii="Calibri Light" w:eastAsia="Times New Roman" w:hAnsi="Calibri Light" w:cs="Calibri Light"/>
          <w:sz w:val="24"/>
          <w:szCs w:val="24"/>
          <w:lang w:eastAsia="en-IE"/>
        </w:rPr>
        <w:t>to specify the quantum of ITC that can be claimed against the</w:t>
      </w:r>
      <w:r w:rsidRPr="00DF049A">
        <w:rPr>
          <w:rFonts w:ascii="Calibri Light" w:eastAsia="Times New Roman" w:hAnsi="Calibri Light" w:cs="Calibri Light"/>
          <w:b/>
          <w:bCs/>
          <w:i/>
          <w:iCs/>
          <w:sz w:val="24"/>
          <w:szCs w:val="24"/>
          <w:lang w:eastAsia="en-IE"/>
        </w:rPr>
        <w:t xml:space="preserve"> </w:t>
      </w:r>
      <w:r w:rsidRPr="00DF049A">
        <w:rPr>
          <w:rFonts w:ascii="Calibri Light" w:eastAsia="Times New Roman" w:hAnsi="Calibri Light" w:cs="Calibri Light"/>
          <w:sz w:val="24"/>
          <w:szCs w:val="24"/>
          <w:lang w:eastAsia="en-IE"/>
        </w:rPr>
        <w:t>invoices/debit notes uploaded and invoices/debit notes not uploaded, by the supplier. As per sub -rule</w:t>
      </w:r>
      <w:r w:rsidRPr="00DF049A">
        <w:rPr>
          <w:rFonts w:ascii="Calibri Light" w:eastAsia="Times New Roman" w:hAnsi="Calibri Light" w:cs="Calibri Light"/>
          <w:b/>
          <w:bCs/>
          <w:i/>
          <w:iCs/>
          <w:sz w:val="24"/>
          <w:szCs w:val="24"/>
          <w:lang w:eastAsia="en-IE"/>
        </w:rPr>
        <w:t xml:space="preserve"> </w:t>
      </w:r>
      <w:r w:rsidRPr="00DF049A">
        <w:rPr>
          <w:rFonts w:ascii="Calibri Light" w:eastAsia="Times New Roman" w:hAnsi="Calibri Light" w:cs="Calibri Light"/>
          <w:sz w:val="24"/>
          <w:szCs w:val="24"/>
          <w:lang w:eastAsia="en-IE"/>
        </w:rPr>
        <w:t>(4) of rule 36, ITC to be availed by a registered person in respect of invoices or debit notes, the details</w:t>
      </w:r>
      <w:r w:rsidRPr="00DF049A">
        <w:rPr>
          <w:rFonts w:ascii="Calibri Light" w:eastAsia="Times New Roman" w:hAnsi="Calibri Light" w:cs="Calibri Light"/>
          <w:b/>
          <w:bCs/>
          <w:i/>
          <w:iCs/>
          <w:sz w:val="24"/>
          <w:szCs w:val="24"/>
          <w:lang w:eastAsia="en-IE"/>
        </w:rPr>
        <w:t xml:space="preserve"> </w:t>
      </w:r>
      <w:r w:rsidRPr="00DF049A">
        <w:rPr>
          <w:rFonts w:ascii="Calibri Light" w:eastAsia="Times New Roman" w:hAnsi="Calibri Light" w:cs="Calibri Light"/>
          <w:sz w:val="24"/>
          <w:szCs w:val="24"/>
          <w:lang w:eastAsia="en-IE"/>
        </w:rPr>
        <w:t xml:space="preserve">of which have not been uploaded by the suppliers in GSTR-1, cannot exceed </w:t>
      </w:r>
      <w:r w:rsidRPr="00DF049A">
        <w:rPr>
          <w:rFonts w:ascii="Calibri Light" w:eastAsia="Times New Roman" w:hAnsi="Calibri Light" w:cs="Calibri Light"/>
          <w:i/>
          <w:iCs/>
          <w:sz w:val="24"/>
          <w:szCs w:val="24"/>
          <w:lang w:eastAsia="en-IE"/>
        </w:rPr>
        <w:t xml:space="preserve">20% </w:t>
      </w:r>
      <w:r w:rsidRPr="00DF049A">
        <w:rPr>
          <w:rFonts w:ascii="Calibri Light" w:eastAsia="Times New Roman" w:hAnsi="Calibri Light" w:cs="Calibri Light"/>
          <w:sz w:val="24"/>
          <w:szCs w:val="24"/>
          <w:lang w:eastAsia="en-IE"/>
        </w:rPr>
        <w:t>of the eligible credit</w:t>
      </w:r>
      <w:r w:rsidRPr="00DF049A">
        <w:rPr>
          <w:rFonts w:ascii="Calibri Light" w:eastAsia="Times New Roman" w:hAnsi="Calibri Light" w:cs="Calibri Light"/>
          <w:b/>
          <w:bCs/>
          <w:i/>
          <w:iCs/>
          <w:sz w:val="24"/>
          <w:szCs w:val="24"/>
          <w:lang w:eastAsia="en-IE"/>
        </w:rPr>
        <w:t xml:space="preserve"> </w:t>
      </w:r>
      <w:r w:rsidRPr="00DF049A">
        <w:rPr>
          <w:rFonts w:ascii="Calibri Light" w:eastAsia="Times New Roman" w:hAnsi="Calibri Light" w:cs="Calibri Light"/>
          <w:sz w:val="24"/>
          <w:szCs w:val="24"/>
          <w:lang w:eastAsia="en-IE"/>
        </w:rPr>
        <w:t>available in respect of invoices or debit notes the details of which have been uploaded by the suppliers</w:t>
      </w:r>
      <w:r w:rsidRPr="00DF049A">
        <w:rPr>
          <w:rFonts w:ascii="Calibri Light" w:eastAsia="Times New Roman" w:hAnsi="Calibri Light" w:cs="Calibri Light"/>
          <w:b/>
          <w:bCs/>
          <w:i/>
          <w:iCs/>
          <w:sz w:val="24"/>
          <w:szCs w:val="24"/>
          <w:lang w:eastAsia="en-IE"/>
        </w:rPr>
        <w:t xml:space="preserve"> </w:t>
      </w:r>
      <w:r w:rsidRPr="00DF049A">
        <w:rPr>
          <w:rFonts w:ascii="Calibri Light" w:eastAsia="Times New Roman" w:hAnsi="Calibri Light" w:cs="Calibri Light"/>
          <w:sz w:val="24"/>
          <w:szCs w:val="24"/>
          <w:lang w:eastAsia="en-IE"/>
        </w:rPr>
        <w:t>in GSTR-1.</w:t>
      </w:r>
    </w:p>
    <w:p w14:paraId="0F05D10F" w14:textId="77777777" w:rsidR="00514044" w:rsidRPr="00514044" w:rsidRDefault="00514044" w:rsidP="0023668B">
      <w:pPr>
        <w:spacing w:after="0" w:line="240" w:lineRule="auto"/>
        <w:jc w:val="both"/>
        <w:rPr>
          <w:rFonts w:ascii="Times New Roman" w:eastAsia="Times New Roman" w:hAnsi="Times New Roman" w:cs="Times New Roman"/>
          <w:sz w:val="24"/>
          <w:szCs w:val="24"/>
          <w:lang w:eastAsia="en-IE"/>
        </w:rPr>
      </w:pPr>
    </w:p>
    <w:p w14:paraId="6D31E5FE" w14:textId="77777777" w:rsidR="00514044" w:rsidRPr="00DF049A" w:rsidRDefault="00514044" w:rsidP="00DF049A">
      <w:pPr>
        <w:pStyle w:val="ListParagraph"/>
        <w:numPr>
          <w:ilvl w:val="0"/>
          <w:numId w:val="4"/>
        </w:numPr>
        <w:spacing w:after="0" w:line="240" w:lineRule="auto"/>
        <w:jc w:val="both"/>
        <w:rPr>
          <w:rFonts w:ascii="Times New Roman" w:eastAsia="Times New Roman" w:hAnsi="Times New Roman" w:cs="Times New Roman"/>
          <w:sz w:val="24"/>
          <w:szCs w:val="24"/>
          <w:lang w:eastAsia="en-IE"/>
        </w:rPr>
      </w:pPr>
      <w:r w:rsidRPr="00DF049A">
        <w:rPr>
          <w:rFonts w:ascii="Calibri Light" w:eastAsia="Times New Roman" w:hAnsi="Calibri Light" w:cs="Calibri Light"/>
          <w:b/>
          <w:bCs/>
          <w:sz w:val="24"/>
          <w:szCs w:val="24"/>
          <w:lang w:eastAsia="en-IE"/>
        </w:rPr>
        <w:t xml:space="preserve">With effect from 01.01.2020, </w:t>
      </w:r>
      <w:r w:rsidRPr="00DF049A">
        <w:rPr>
          <w:rFonts w:ascii="Calibri Light" w:eastAsia="Times New Roman" w:hAnsi="Calibri Light" w:cs="Calibri Light"/>
          <w:b/>
          <w:bCs/>
          <w:i/>
          <w:iCs/>
          <w:sz w:val="24"/>
          <w:szCs w:val="24"/>
          <w:lang w:eastAsia="en-IE"/>
        </w:rPr>
        <w:t xml:space="preserve">Notification No. 75/2019 CT dated 26.12.2019 </w:t>
      </w:r>
      <w:r w:rsidRPr="00DF049A">
        <w:rPr>
          <w:rFonts w:ascii="Calibri Light" w:eastAsia="Times New Roman" w:hAnsi="Calibri Light" w:cs="Calibri Light"/>
          <w:sz w:val="24"/>
          <w:szCs w:val="24"/>
          <w:lang w:eastAsia="en-IE"/>
        </w:rPr>
        <w:t xml:space="preserve">has amended the said sub-rule to reduce the percentage of ITC that can be availed on invoices not uploaded by the suppliers in their GSTR-1s from </w:t>
      </w:r>
      <w:r w:rsidRPr="00DF049A">
        <w:rPr>
          <w:rFonts w:ascii="Calibri Light" w:eastAsia="Times New Roman" w:hAnsi="Calibri Light" w:cs="Calibri Light"/>
          <w:b/>
          <w:bCs/>
          <w:sz w:val="24"/>
          <w:szCs w:val="24"/>
          <w:lang w:eastAsia="en-IE"/>
        </w:rPr>
        <w:t>20% to 10%.</w:t>
      </w:r>
    </w:p>
    <w:p w14:paraId="2E512E4C" w14:textId="77777777" w:rsidR="00514044" w:rsidRPr="00514044" w:rsidRDefault="00514044" w:rsidP="0023668B">
      <w:pPr>
        <w:spacing w:after="0" w:line="240" w:lineRule="auto"/>
        <w:jc w:val="both"/>
        <w:rPr>
          <w:rFonts w:ascii="Times New Roman" w:eastAsia="Times New Roman" w:hAnsi="Times New Roman" w:cs="Times New Roman"/>
          <w:sz w:val="24"/>
          <w:szCs w:val="24"/>
          <w:lang w:eastAsia="en-IE"/>
        </w:rPr>
      </w:pPr>
    </w:p>
    <w:tbl>
      <w:tblPr>
        <w:tblW w:w="0" w:type="auto"/>
        <w:tblCellMar>
          <w:left w:w="0" w:type="dxa"/>
          <w:right w:w="0" w:type="dxa"/>
        </w:tblCellMar>
        <w:tblLook w:val="04A0" w:firstRow="1" w:lastRow="0" w:firstColumn="1" w:lastColumn="0" w:noHBand="0" w:noVBand="1"/>
      </w:tblPr>
      <w:tblGrid>
        <w:gridCol w:w="3005"/>
        <w:gridCol w:w="5921"/>
      </w:tblGrid>
      <w:tr w:rsidR="00514044" w:rsidRPr="00514044" w14:paraId="0A6F091E" w14:textId="77777777" w:rsidTr="00514044">
        <w:tc>
          <w:tcPr>
            <w:tcW w:w="3005" w:type="dxa"/>
            <w:tcBorders>
              <w:top w:val="single" w:sz="8" w:space="0" w:color="auto"/>
              <w:left w:val="single" w:sz="8" w:space="0" w:color="auto"/>
              <w:bottom w:val="single" w:sz="8" w:space="0" w:color="auto"/>
              <w:right w:val="double" w:sz="4" w:space="0" w:color="A5A5A5"/>
            </w:tcBorders>
            <w:tcMar>
              <w:top w:w="0" w:type="dxa"/>
              <w:left w:w="108" w:type="dxa"/>
              <w:bottom w:w="0" w:type="dxa"/>
              <w:right w:w="108" w:type="dxa"/>
            </w:tcMar>
            <w:hideMark/>
          </w:tcPr>
          <w:p w14:paraId="7B69D82C" w14:textId="77777777" w:rsidR="00514044" w:rsidRPr="00514044" w:rsidRDefault="00514044" w:rsidP="0023668B">
            <w:pPr>
              <w:spacing w:before="100" w:beforeAutospacing="1" w:after="0" w:line="240" w:lineRule="auto"/>
              <w:jc w:val="center"/>
              <w:rPr>
                <w:rFonts w:ascii="Times New Roman" w:eastAsia="Times New Roman" w:hAnsi="Times New Roman" w:cs="Times New Roman"/>
                <w:sz w:val="24"/>
                <w:szCs w:val="24"/>
                <w:lang w:eastAsia="en-IE"/>
              </w:rPr>
            </w:pPr>
            <w:r w:rsidRPr="00514044">
              <w:rPr>
                <w:rFonts w:ascii="Calibri Light" w:eastAsia="Times New Roman" w:hAnsi="Calibri Light" w:cs="Calibri Light"/>
                <w:b/>
                <w:bCs/>
                <w:sz w:val="26"/>
                <w:szCs w:val="26"/>
                <w:lang w:eastAsia="en-IE"/>
              </w:rPr>
              <w:t>Case</w:t>
            </w:r>
          </w:p>
        </w:tc>
        <w:tc>
          <w:tcPr>
            <w:tcW w:w="59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70387" w14:textId="77777777" w:rsidR="00514044" w:rsidRPr="00514044" w:rsidRDefault="00514044" w:rsidP="0023668B">
            <w:pPr>
              <w:spacing w:before="100" w:beforeAutospacing="1" w:after="0" w:line="240" w:lineRule="auto"/>
              <w:jc w:val="center"/>
              <w:rPr>
                <w:rFonts w:ascii="Times New Roman" w:eastAsia="Times New Roman" w:hAnsi="Times New Roman" w:cs="Times New Roman"/>
                <w:sz w:val="24"/>
                <w:szCs w:val="24"/>
                <w:lang w:eastAsia="en-IE"/>
              </w:rPr>
            </w:pPr>
            <w:r w:rsidRPr="00514044">
              <w:rPr>
                <w:rFonts w:ascii="Calibri Light" w:eastAsia="Times New Roman" w:hAnsi="Calibri Light" w:cs="Calibri Light"/>
                <w:b/>
                <w:bCs/>
                <w:sz w:val="26"/>
                <w:szCs w:val="26"/>
                <w:lang w:eastAsia="en-IE"/>
              </w:rPr>
              <w:t>Amount of ITC to be claimed by recipient</w:t>
            </w:r>
          </w:p>
        </w:tc>
      </w:tr>
      <w:tr w:rsidR="00514044" w:rsidRPr="00514044" w14:paraId="2D9648EF" w14:textId="77777777" w:rsidTr="00514044">
        <w:tc>
          <w:tcPr>
            <w:tcW w:w="3005" w:type="dxa"/>
            <w:tcBorders>
              <w:top w:val="nil"/>
              <w:left w:val="single" w:sz="8" w:space="0" w:color="auto"/>
              <w:bottom w:val="single" w:sz="8" w:space="0" w:color="auto"/>
              <w:right w:val="double" w:sz="4" w:space="0" w:color="A5A5A5"/>
            </w:tcBorders>
            <w:tcMar>
              <w:top w:w="0" w:type="dxa"/>
              <w:left w:w="108" w:type="dxa"/>
              <w:bottom w:w="0" w:type="dxa"/>
              <w:right w:w="108" w:type="dxa"/>
            </w:tcMar>
            <w:hideMark/>
          </w:tcPr>
          <w:p w14:paraId="60BD8AC7" w14:textId="77777777" w:rsidR="00514044" w:rsidRPr="00514044" w:rsidRDefault="00514044" w:rsidP="0023668B">
            <w:pPr>
              <w:spacing w:before="100" w:beforeAutospacing="1" w:after="0" w:line="240" w:lineRule="auto"/>
              <w:jc w:val="both"/>
              <w:rPr>
                <w:rFonts w:ascii="Times New Roman" w:eastAsia="Times New Roman" w:hAnsi="Times New Roman" w:cs="Times New Roman"/>
                <w:sz w:val="24"/>
                <w:szCs w:val="24"/>
                <w:lang w:eastAsia="en-IE"/>
              </w:rPr>
            </w:pPr>
            <w:r w:rsidRPr="00514044">
              <w:rPr>
                <w:rFonts w:ascii="Calibri Light" w:eastAsia="Times New Roman" w:hAnsi="Calibri Light" w:cs="Calibri Light"/>
                <w:sz w:val="24"/>
                <w:szCs w:val="24"/>
                <w:lang w:eastAsia="en-IE"/>
              </w:rPr>
              <w:t>Where invoice/debit note has been uploaded by the supplier in his GTSR-1</w:t>
            </w:r>
          </w:p>
        </w:tc>
        <w:tc>
          <w:tcPr>
            <w:tcW w:w="5921" w:type="dxa"/>
            <w:tcBorders>
              <w:top w:val="nil"/>
              <w:left w:val="nil"/>
              <w:bottom w:val="single" w:sz="8" w:space="0" w:color="auto"/>
              <w:right w:val="single" w:sz="8" w:space="0" w:color="auto"/>
            </w:tcBorders>
            <w:tcMar>
              <w:top w:w="0" w:type="dxa"/>
              <w:left w:w="108" w:type="dxa"/>
              <w:bottom w:w="0" w:type="dxa"/>
              <w:right w:w="108" w:type="dxa"/>
            </w:tcMar>
            <w:hideMark/>
          </w:tcPr>
          <w:p w14:paraId="6281EE0D" w14:textId="77777777" w:rsidR="00514044" w:rsidRPr="00514044" w:rsidRDefault="00514044" w:rsidP="0023668B">
            <w:pPr>
              <w:spacing w:before="100" w:beforeAutospacing="1" w:after="0" w:line="240" w:lineRule="auto"/>
              <w:jc w:val="both"/>
              <w:rPr>
                <w:rFonts w:ascii="Times New Roman" w:eastAsia="Times New Roman" w:hAnsi="Times New Roman" w:cs="Times New Roman"/>
                <w:sz w:val="24"/>
                <w:szCs w:val="24"/>
                <w:lang w:eastAsia="en-IE"/>
              </w:rPr>
            </w:pPr>
            <w:r w:rsidRPr="00514044">
              <w:rPr>
                <w:rFonts w:ascii="Calibri Light" w:eastAsia="Times New Roman" w:hAnsi="Calibri Light" w:cs="Calibri Light"/>
                <w:sz w:val="24"/>
                <w:szCs w:val="24"/>
                <w:lang w:eastAsia="en-IE"/>
              </w:rPr>
              <w:t>Full ITC, if all other conditions of availing ITC are Fulfilled</w:t>
            </w:r>
          </w:p>
        </w:tc>
      </w:tr>
      <w:tr w:rsidR="00514044" w:rsidRPr="00514044" w14:paraId="5323A9CC" w14:textId="77777777" w:rsidTr="00514044">
        <w:tc>
          <w:tcPr>
            <w:tcW w:w="3005" w:type="dxa"/>
            <w:tcBorders>
              <w:top w:val="nil"/>
              <w:left w:val="single" w:sz="8" w:space="0" w:color="auto"/>
              <w:bottom w:val="single" w:sz="8" w:space="0" w:color="auto"/>
              <w:right w:val="double" w:sz="4" w:space="0" w:color="A5A5A5"/>
            </w:tcBorders>
            <w:tcMar>
              <w:top w:w="0" w:type="dxa"/>
              <w:left w:w="108" w:type="dxa"/>
              <w:bottom w:w="0" w:type="dxa"/>
              <w:right w:w="108" w:type="dxa"/>
            </w:tcMar>
            <w:hideMark/>
          </w:tcPr>
          <w:p w14:paraId="7978B4FD" w14:textId="77777777" w:rsidR="00514044" w:rsidRPr="00514044" w:rsidRDefault="00514044" w:rsidP="0023668B">
            <w:pPr>
              <w:spacing w:before="100" w:beforeAutospacing="1" w:after="0" w:line="240" w:lineRule="auto"/>
              <w:jc w:val="both"/>
              <w:rPr>
                <w:rFonts w:ascii="Times New Roman" w:eastAsia="Times New Roman" w:hAnsi="Times New Roman" w:cs="Times New Roman"/>
                <w:sz w:val="24"/>
                <w:szCs w:val="24"/>
                <w:lang w:eastAsia="en-IE"/>
              </w:rPr>
            </w:pPr>
            <w:r w:rsidRPr="00514044">
              <w:rPr>
                <w:rFonts w:ascii="Calibri Light" w:eastAsia="Times New Roman" w:hAnsi="Calibri Light" w:cs="Calibri Light"/>
                <w:sz w:val="24"/>
                <w:szCs w:val="24"/>
                <w:lang w:eastAsia="en-IE"/>
              </w:rPr>
              <w:t>Where invoice/debit note has not been uploaded by supplier in his GTSR-1</w:t>
            </w:r>
          </w:p>
        </w:tc>
        <w:tc>
          <w:tcPr>
            <w:tcW w:w="5921" w:type="dxa"/>
            <w:tcBorders>
              <w:top w:val="nil"/>
              <w:left w:val="nil"/>
              <w:bottom w:val="single" w:sz="8" w:space="0" w:color="auto"/>
              <w:right w:val="single" w:sz="8" w:space="0" w:color="auto"/>
            </w:tcBorders>
            <w:tcMar>
              <w:top w:w="0" w:type="dxa"/>
              <w:left w:w="108" w:type="dxa"/>
              <w:bottom w:w="0" w:type="dxa"/>
              <w:right w:w="108" w:type="dxa"/>
            </w:tcMar>
            <w:hideMark/>
          </w:tcPr>
          <w:p w14:paraId="26C448A5" w14:textId="77777777" w:rsidR="00514044" w:rsidRPr="00514044" w:rsidRDefault="00514044" w:rsidP="0023668B">
            <w:pPr>
              <w:spacing w:before="100" w:beforeAutospacing="1" w:after="0" w:line="240" w:lineRule="auto"/>
              <w:jc w:val="both"/>
              <w:rPr>
                <w:rFonts w:ascii="Times New Roman" w:eastAsia="Times New Roman" w:hAnsi="Times New Roman" w:cs="Times New Roman"/>
                <w:sz w:val="24"/>
                <w:szCs w:val="24"/>
                <w:lang w:eastAsia="en-IE"/>
              </w:rPr>
            </w:pPr>
            <w:r w:rsidRPr="00514044">
              <w:rPr>
                <w:rFonts w:ascii="Calibri Light" w:eastAsia="Times New Roman" w:hAnsi="Calibri Light" w:cs="Calibri Light"/>
                <w:sz w:val="24"/>
                <w:szCs w:val="24"/>
                <w:lang w:eastAsia="en-IE"/>
              </w:rPr>
              <w:t>10% of the eligible ITC available in respect of the uploaded invoices/debit notes. However, the ITC so claimed should not exceed the actual eligible ITC available in respect of the invoices not uploaded.</w:t>
            </w:r>
          </w:p>
        </w:tc>
      </w:tr>
    </w:tbl>
    <w:p w14:paraId="60A7A75B" w14:textId="77777777" w:rsidR="00B61A44" w:rsidRDefault="00B61A44" w:rsidP="0023668B">
      <w:pPr>
        <w:spacing w:after="0" w:line="240" w:lineRule="auto"/>
        <w:jc w:val="both"/>
        <w:rPr>
          <w:rFonts w:ascii="Calibri Light" w:eastAsia="Times New Roman" w:hAnsi="Calibri Light" w:cs="Calibri Light"/>
          <w:sz w:val="24"/>
          <w:szCs w:val="24"/>
          <w:lang w:eastAsia="en-IE"/>
        </w:rPr>
      </w:pPr>
    </w:p>
    <w:p w14:paraId="1A35D85E" w14:textId="32EA46B7" w:rsidR="00514044" w:rsidRPr="00514044" w:rsidRDefault="00514044" w:rsidP="0023668B">
      <w:pPr>
        <w:spacing w:after="0" w:line="240" w:lineRule="auto"/>
        <w:jc w:val="both"/>
        <w:rPr>
          <w:rFonts w:ascii="Times New Roman" w:eastAsia="Times New Roman" w:hAnsi="Times New Roman" w:cs="Times New Roman"/>
          <w:sz w:val="24"/>
          <w:szCs w:val="24"/>
          <w:lang w:eastAsia="en-IE"/>
        </w:rPr>
      </w:pPr>
      <w:r w:rsidRPr="00514044">
        <w:rPr>
          <w:rFonts w:ascii="Calibri Light" w:eastAsia="Times New Roman" w:hAnsi="Calibri Light" w:cs="Calibri Light"/>
          <w:sz w:val="24"/>
          <w:szCs w:val="24"/>
          <w:lang w:eastAsia="en-IE"/>
        </w:rPr>
        <w:t> </w:t>
      </w:r>
    </w:p>
    <w:p w14:paraId="1EBA5F26" w14:textId="5DDCC376" w:rsidR="00514044" w:rsidRPr="00B61A44" w:rsidRDefault="00514044" w:rsidP="00846143">
      <w:pPr>
        <w:pStyle w:val="ListParagraph"/>
        <w:numPr>
          <w:ilvl w:val="0"/>
          <w:numId w:val="1"/>
        </w:numPr>
        <w:spacing w:after="0" w:line="240" w:lineRule="auto"/>
        <w:jc w:val="both"/>
        <w:rPr>
          <w:rFonts w:ascii="Comic Sans MS" w:eastAsia="Times New Roman" w:hAnsi="Comic Sans MS" w:cs="Calibri Light"/>
          <w:b/>
          <w:bCs/>
          <w:sz w:val="26"/>
          <w:szCs w:val="26"/>
          <w:highlight w:val="lightGray"/>
          <w:u w:val="single"/>
          <w:lang w:eastAsia="en-IE"/>
        </w:rPr>
      </w:pPr>
      <w:r w:rsidRPr="00B61A44">
        <w:rPr>
          <w:rFonts w:ascii="Comic Sans MS" w:eastAsia="Times New Roman" w:hAnsi="Comic Sans MS" w:cs="Calibri Light"/>
          <w:b/>
          <w:bCs/>
          <w:sz w:val="26"/>
          <w:szCs w:val="26"/>
          <w:highlight w:val="lightGray"/>
          <w:u w:val="single"/>
          <w:lang w:eastAsia="en-IE"/>
        </w:rPr>
        <w:t>Treatment in Books of Accounts</w:t>
      </w:r>
      <w:r w:rsidR="00A374B8" w:rsidRPr="00B61A44">
        <w:rPr>
          <w:rFonts w:ascii="Comic Sans MS" w:eastAsia="Times New Roman" w:hAnsi="Comic Sans MS" w:cs="Calibri Light"/>
          <w:b/>
          <w:bCs/>
          <w:sz w:val="26"/>
          <w:szCs w:val="26"/>
          <w:highlight w:val="lightGray"/>
          <w:u w:val="single"/>
          <w:lang w:eastAsia="en-IE"/>
        </w:rPr>
        <w:t xml:space="preserve"> and Comment </w:t>
      </w:r>
      <w:r w:rsidR="00DF049A" w:rsidRPr="00B61A44">
        <w:rPr>
          <w:rFonts w:ascii="Comic Sans MS" w:eastAsia="Times New Roman" w:hAnsi="Comic Sans MS" w:cs="Calibri Light"/>
          <w:b/>
          <w:bCs/>
          <w:sz w:val="26"/>
          <w:szCs w:val="26"/>
          <w:highlight w:val="lightGray"/>
          <w:u w:val="single"/>
          <w:lang w:eastAsia="en-IE"/>
        </w:rPr>
        <w:t>on</w:t>
      </w:r>
      <w:r w:rsidR="00A374B8" w:rsidRPr="00B61A44">
        <w:rPr>
          <w:rFonts w:ascii="Comic Sans MS" w:eastAsia="Times New Roman" w:hAnsi="Comic Sans MS" w:cs="Calibri Light"/>
          <w:b/>
          <w:bCs/>
          <w:sz w:val="26"/>
          <w:szCs w:val="26"/>
          <w:highlight w:val="lightGray"/>
          <w:u w:val="single"/>
          <w:lang w:eastAsia="en-IE"/>
        </w:rPr>
        <w:t xml:space="preserve"> Difference</w:t>
      </w:r>
    </w:p>
    <w:p w14:paraId="3A53B1D0" w14:textId="37D945BD" w:rsidR="009D7615" w:rsidRDefault="009D7615" w:rsidP="0023668B">
      <w:pPr>
        <w:spacing w:after="0" w:line="240" w:lineRule="auto"/>
        <w:jc w:val="both"/>
        <w:rPr>
          <w:rFonts w:ascii="Comic Sans MS" w:eastAsia="Times New Roman" w:hAnsi="Comic Sans MS" w:cs="Calibri Light"/>
          <w:b/>
          <w:bCs/>
          <w:sz w:val="26"/>
          <w:szCs w:val="26"/>
          <w:lang w:eastAsia="en-IE"/>
        </w:rPr>
      </w:pPr>
    </w:p>
    <w:p w14:paraId="2E577E16" w14:textId="77777777" w:rsidR="00E33BCE" w:rsidRPr="00DF049A" w:rsidRDefault="009D7615" w:rsidP="00DF049A">
      <w:pPr>
        <w:pStyle w:val="ListParagraph"/>
        <w:numPr>
          <w:ilvl w:val="0"/>
          <w:numId w:val="3"/>
        </w:numPr>
        <w:spacing w:after="0" w:line="240" w:lineRule="auto"/>
        <w:jc w:val="both"/>
        <w:rPr>
          <w:rFonts w:ascii="Calibri Light" w:eastAsia="Times New Roman" w:hAnsi="Calibri Light" w:cs="Calibri Light"/>
          <w:sz w:val="24"/>
          <w:szCs w:val="24"/>
          <w:lang w:eastAsia="en-IE"/>
        </w:rPr>
      </w:pPr>
      <w:r w:rsidRPr="00DF049A">
        <w:rPr>
          <w:rFonts w:ascii="Calibri Light" w:eastAsia="Times New Roman" w:hAnsi="Calibri Light" w:cs="Calibri Light"/>
          <w:sz w:val="24"/>
          <w:szCs w:val="24"/>
          <w:lang w:eastAsia="en-IE"/>
        </w:rPr>
        <w:t>In Books of Accounts entries for Input Tax Credit Made as per General Accepted Accounting Principles (Hereinafter referred as GAAP). As per GAAP entries for Input Tax Credits is Made as per Tax Invoice received by Registered Taxpayer</w:t>
      </w:r>
      <w:r w:rsidR="00E33BCE" w:rsidRPr="00DF049A">
        <w:rPr>
          <w:rFonts w:ascii="Calibri Light" w:eastAsia="Times New Roman" w:hAnsi="Calibri Light" w:cs="Calibri Light"/>
          <w:sz w:val="24"/>
          <w:szCs w:val="24"/>
          <w:lang w:eastAsia="en-IE"/>
        </w:rPr>
        <w:t xml:space="preserve"> provided the Conditions Mentioned in Chapter V of CGST Act (Section 16 to 21) &amp; Chapter V Input Tax Credit of CGST Rules (Rule 36-45) are Satisfy.</w:t>
      </w:r>
    </w:p>
    <w:p w14:paraId="50F2AB0D" w14:textId="77777777" w:rsidR="00E33BCE" w:rsidRDefault="00E33BCE" w:rsidP="0023668B">
      <w:pPr>
        <w:spacing w:after="0" w:line="240" w:lineRule="auto"/>
        <w:jc w:val="both"/>
        <w:rPr>
          <w:rFonts w:ascii="Calibri Light" w:eastAsia="Times New Roman" w:hAnsi="Calibri Light" w:cs="Calibri Light"/>
          <w:sz w:val="24"/>
          <w:szCs w:val="24"/>
          <w:lang w:eastAsia="en-IE"/>
        </w:rPr>
      </w:pPr>
    </w:p>
    <w:p w14:paraId="5B309C7A" w14:textId="77777777" w:rsidR="00385F85" w:rsidRPr="00DF049A" w:rsidRDefault="00E33BCE" w:rsidP="00DF049A">
      <w:pPr>
        <w:pStyle w:val="ListParagraph"/>
        <w:numPr>
          <w:ilvl w:val="0"/>
          <w:numId w:val="3"/>
        </w:numPr>
        <w:spacing w:after="0" w:line="240" w:lineRule="auto"/>
        <w:jc w:val="both"/>
        <w:rPr>
          <w:rFonts w:ascii="Calibri Light" w:eastAsia="Times New Roman" w:hAnsi="Calibri Light" w:cs="Calibri Light"/>
          <w:sz w:val="24"/>
          <w:szCs w:val="24"/>
          <w:lang w:eastAsia="en-IE"/>
        </w:rPr>
      </w:pPr>
      <w:r w:rsidRPr="00DF049A">
        <w:rPr>
          <w:rFonts w:ascii="Calibri Light" w:eastAsia="Times New Roman" w:hAnsi="Calibri Light" w:cs="Calibri Light"/>
          <w:sz w:val="24"/>
          <w:szCs w:val="24"/>
          <w:lang w:eastAsia="en-IE"/>
        </w:rPr>
        <w:t>Assuming All Such Conditions as Mentioned in Chapter V of CGST Act (Section 16 to 21) &amp; Chapter V Input Tax Credit of CGST Rules (Rule 36-45) are Satisfied.</w:t>
      </w:r>
    </w:p>
    <w:p w14:paraId="765FDA12" w14:textId="77777777" w:rsidR="00385F85" w:rsidRDefault="00385F85" w:rsidP="0023668B">
      <w:pPr>
        <w:spacing w:after="0" w:line="240" w:lineRule="auto"/>
        <w:jc w:val="both"/>
        <w:rPr>
          <w:rFonts w:ascii="Calibri Light" w:eastAsia="Times New Roman" w:hAnsi="Calibri Light" w:cs="Calibri Light"/>
          <w:sz w:val="24"/>
          <w:szCs w:val="24"/>
          <w:lang w:eastAsia="en-IE"/>
        </w:rPr>
      </w:pPr>
    </w:p>
    <w:p w14:paraId="1E877D4D" w14:textId="27EFA89F" w:rsidR="00945EA9" w:rsidRPr="00DF049A" w:rsidRDefault="00E33BCE" w:rsidP="00DF049A">
      <w:pPr>
        <w:pStyle w:val="ListParagraph"/>
        <w:numPr>
          <w:ilvl w:val="0"/>
          <w:numId w:val="3"/>
        </w:numPr>
        <w:spacing w:after="0" w:line="240" w:lineRule="auto"/>
        <w:jc w:val="both"/>
        <w:rPr>
          <w:rFonts w:ascii="Calibri Light" w:eastAsia="Times New Roman" w:hAnsi="Calibri Light" w:cs="Calibri Light"/>
          <w:sz w:val="24"/>
          <w:szCs w:val="24"/>
          <w:lang w:eastAsia="en-IE"/>
        </w:rPr>
      </w:pPr>
      <w:r w:rsidRPr="00DF049A">
        <w:rPr>
          <w:rFonts w:ascii="Calibri Light" w:eastAsia="Times New Roman" w:hAnsi="Calibri Light" w:cs="Calibri Light"/>
          <w:sz w:val="24"/>
          <w:szCs w:val="24"/>
          <w:lang w:eastAsia="en-IE"/>
        </w:rPr>
        <w:t>Then Obviously due to thi</w:t>
      </w:r>
      <w:r w:rsidR="00385F85" w:rsidRPr="00DF049A">
        <w:rPr>
          <w:rFonts w:ascii="Calibri Light" w:eastAsia="Times New Roman" w:hAnsi="Calibri Light" w:cs="Calibri Light"/>
          <w:sz w:val="24"/>
          <w:szCs w:val="24"/>
          <w:lang w:eastAsia="en-IE"/>
        </w:rPr>
        <w:t>s different treatment in Books of Accounts and GST Returns Matching of Input Tax Credit is difficult task and also sometime can lead to Confusing.</w:t>
      </w:r>
    </w:p>
    <w:p w14:paraId="30249D66" w14:textId="07B73065" w:rsidR="00945EA9" w:rsidRDefault="00945EA9" w:rsidP="0023668B">
      <w:pPr>
        <w:spacing w:after="0" w:line="240" w:lineRule="auto"/>
        <w:jc w:val="both"/>
        <w:rPr>
          <w:rFonts w:ascii="Calibri Light" w:eastAsia="Times New Roman" w:hAnsi="Calibri Light" w:cs="Calibri Light"/>
          <w:sz w:val="24"/>
          <w:szCs w:val="24"/>
          <w:lang w:eastAsia="en-IE"/>
        </w:rPr>
      </w:pPr>
    </w:p>
    <w:p w14:paraId="58549BED" w14:textId="52BE2F70" w:rsidR="003A22FF" w:rsidRPr="004749D5" w:rsidRDefault="00945EA9" w:rsidP="00B61A44">
      <w:pPr>
        <w:pStyle w:val="ListParagraph"/>
        <w:numPr>
          <w:ilvl w:val="0"/>
          <w:numId w:val="3"/>
        </w:numPr>
        <w:spacing w:after="0" w:line="240" w:lineRule="auto"/>
        <w:jc w:val="both"/>
        <w:rPr>
          <w:rFonts w:ascii="Times New Roman" w:eastAsia="Times New Roman" w:hAnsi="Times New Roman" w:cs="Times New Roman"/>
          <w:sz w:val="24"/>
          <w:szCs w:val="24"/>
          <w:lang w:eastAsia="en-IE"/>
        </w:rPr>
      </w:pPr>
      <w:r w:rsidRPr="00DF049A">
        <w:rPr>
          <w:rFonts w:ascii="Calibri Light" w:eastAsia="Times New Roman" w:hAnsi="Calibri Light" w:cs="Calibri Light"/>
          <w:sz w:val="24"/>
          <w:szCs w:val="24"/>
          <w:lang w:eastAsia="en-IE"/>
        </w:rPr>
        <w:t>For this reason, Taxpayer Needs to Maintain the Track of Above treatment in Addition to Preparing this GSTR-3B Calculation Sheet.</w:t>
      </w:r>
    </w:p>
    <w:p w14:paraId="4CE562FB" w14:textId="77777777" w:rsidR="004749D5" w:rsidRPr="004749D5" w:rsidRDefault="004749D5" w:rsidP="004749D5">
      <w:pPr>
        <w:pStyle w:val="ListParagraph"/>
        <w:rPr>
          <w:rFonts w:ascii="Times New Roman" w:eastAsia="Times New Roman" w:hAnsi="Times New Roman" w:cs="Times New Roman"/>
          <w:sz w:val="24"/>
          <w:szCs w:val="24"/>
          <w:lang w:eastAsia="en-IE"/>
        </w:rPr>
      </w:pPr>
    </w:p>
    <w:p w14:paraId="652EBBBE" w14:textId="495ECB19" w:rsidR="004749D5" w:rsidRDefault="004749D5" w:rsidP="004749D5">
      <w:pPr>
        <w:pStyle w:val="ListParagraph"/>
        <w:spacing w:after="0" w:line="240" w:lineRule="auto"/>
        <w:jc w:val="both"/>
        <w:rPr>
          <w:rFonts w:ascii="Times New Roman" w:eastAsia="Times New Roman" w:hAnsi="Times New Roman" w:cs="Times New Roman"/>
          <w:sz w:val="24"/>
          <w:szCs w:val="24"/>
          <w:lang w:eastAsia="en-IE"/>
        </w:rPr>
      </w:pPr>
    </w:p>
    <w:p w14:paraId="73056B0D" w14:textId="77777777" w:rsidR="004749D5" w:rsidRPr="00514044" w:rsidRDefault="004749D5" w:rsidP="004749D5">
      <w:pPr>
        <w:spacing w:after="0" w:line="240" w:lineRule="auto"/>
        <w:jc w:val="both"/>
        <w:rPr>
          <w:rFonts w:ascii="Times New Roman" w:eastAsia="Times New Roman" w:hAnsi="Times New Roman" w:cs="Times New Roman"/>
          <w:sz w:val="24"/>
          <w:szCs w:val="24"/>
          <w:lang w:eastAsia="en-IE"/>
        </w:rPr>
      </w:pPr>
    </w:p>
    <w:p w14:paraId="31E8BFB8" w14:textId="5B59C4A9" w:rsidR="004749D5" w:rsidRDefault="004749D5" w:rsidP="004749D5">
      <w:pPr>
        <w:pStyle w:val="ListParagraph"/>
        <w:numPr>
          <w:ilvl w:val="0"/>
          <w:numId w:val="1"/>
        </w:numPr>
        <w:spacing w:after="0" w:line="240" w:lineRule="auto"/>
        <w:jc w:val="both"/>
        <w:rPr>
          <w:rFonts w:ascii="Comic Sans MS" w:eastAsia="Times New Roman" w:hAnsi="Comic Sans MS" w:cs="Calibri Light"/>
          <w:b/>
          <w:bCs/>
          <w:sz w:val="26"/>
          <w:szCs w:val="26"/>
          <w:highlight w:val="lightGray"/>
          <w:u w:val="single"/>
          <w:lang w:eastAsia="en-IE"/>
        </w:rPr>
      </w:pPr>
      <w:r w:rsidRPr="004749D5">
        <w:rPr>
          <w:rFonts w:ascii="Comic Sans MS" w:eastAsia="Times New Roman" w:hAnsi="Comic Sans MS" w:cs="Calibri Light"/>
          <w:b/>
          <w:bCs/>
          <w:sz w:val="26"/>
          <w:szCs w:val="26"/>
          <w:highlight w:val="lightGray"/>
          <w:u w:val="single"/>
          <w:lang w:eastAsia="en-IE"/>
        </w:rPr>
        <w:t>Basic Idea on Track over different treatment in Books of Accounts and GSTR-3B Return</w:t>
      </w:r>
    </w:p>
    <w:p w14:paraId="1DDA7FA8" w14:textId="626017F6" w:rsidR="00D20C1C" w:rsidRDefault="00D20C1C" w:rsidP="00D20C1C">
      <w:pPr>
        <w:pStyle w:val="ListParagraph"/>
        <w:spacing w:after="0" w:line="240" w:lineRule="auto"/>
        <w:jc w:val="both"/>
        <w:rPr>
          <w:rFonts w:ascii="Comic Sans MS" w:eastAsia="Times New Roman" w:hAnsi="Comic Sans MS" w:cs="Calibri Light"/>
          <w:b/>
          <w:bCs/>
          <w:sz w:val="26"/>
          <w:szCs w:val="26"/>
          <w:highlight w:val="lightGray"/>
          <w:u w:val="single"/>
          <w:lang w:eastAsia="en-IE"/>
        </w:rPr>
      </w:pPr>
    </w:p>
    <w:p w14:paraId="18EE4BED" w14:textId="77777777" w:rsidR="00D20C1C" w:rsidRDefault="00D20C1C" w:rsidP="00CE75C5">
      <w:pPr>
        <w:pStyle w:val="ListParagraph"/>
        <w:numPr>
          <w:ilvl w:val="0"/>
          <w:numId w:val="3"/>
        </w:numPr>
        <w:spacing w:after="0" w:line="240" w:lineRule="auto"/>
        <w:jc w:val="both"/>
        <w:rPr>
          <w:rFonts w:ascii="Calibri Light" w:eastAsia="Times New Roman" w:hAnsi="Calibri Light" w:cs="Calibri Light"/>
          <w:sz w:val="24"/>
          <w:szCs w:val="24"/>
          <w:lang w:eastAsia="en-IE"/>
        </w:rPr>
      </w:pPr>
      <w:r w:rsidRPr="00D20C1C">
        <w:rPr>
          <w:rFonts w:ascii="Calibri Light" w:eastAsia="Times New Roman" w:hAnsi="Calibri Light" w:cs="Calibri Light"/>
          <w:sz w:val="24"/>
          <w:szCs w:val="24"/>
          <w:lang w:eastAsia="en-IE"/>
        </w:rPr>
        <w:t>Taxpayer after Calculating eligible ITC as per</w:t>
      </w:r>
      <w:r>
        <w:rPr>
          <w:rFonts w:ascii="Calibri Light" w:eastAsia="Times New Roman" w:hAnsi="Calibri Light" w:cs="Calibri Light"/>
          <w:sz w:val="24"/>
          <w:szCs w:val="24"/>
          <w:lang w:eastAsia="en-IE"/>
        </w:rPr>
        <w:t xml:space="preserve"> Books of Accounts Compare Such ITC with ITC Available in GSTR-2a of the Taxpayer.</w:t>
      </w:r>
    </w:p>
    <w:p w14:paraId="61735D99" w14:textId="2E80A95E" w:rsidR="00D20C1C" w:rsidRDefault="00D20C1C" w:rsidP="00D20C1C">
      <w:pPr>
        <w:pStyle w:val="ListParagraph"/>
        <w:spacing w:after="0" w:line="240" w:lineRule="auto"/>
        <w:jc w:val="both"/>
        <w:rPr>
          <w:rFonts w:ascii="Calibri Light" w:eastAsia="Times New Roman" w:hAnsi="Calibri Light" w:cs="Calibri Light"/>
          <w:sz w:val="24"/>
          <w:szCs w:val="24"/>
          <w:lang w:eastAsia="en-IE"/>
        </w:rPr>
      </w:pPr>
      <w:r>
        <w:rPr>
          <w:rFonts w:ascii="Calibri Light" w:eastAsia="Times New Roman" w:hAnsi="Calibri Light" w:cs="Calibri Light"/>
          <w:sz w:val="24"/>
          <w:szCs w:val="24"/>
          <w:lang w:eastAsia="en-IE"/>
        </w:rPr>
        <w:t xml:space="preserve"> </w:t>
      </w:r>
    </w:p>
    <w:p w14:paraId="42A9374F" w14:textId="6D3A4E04" w:rsidR="00D20C1C" w:rsidRDefault="00D20C1C" w:rsidP="00D20C1C">
      <w:pPr>
        <w:pStyle w:val="ListParagraph"/>
        <w:numPr>
          <w:ilvl w:val="0"/>
          <w:numId w:val="3"/>
        </w:numPr>
        <w:spacing w:after="0" w:line="240" w:lineRule="auto"/>
        <w:jc w:val="both"/>
        <w:rPr>
          <w:rFonts w:ascii="Calibri Light" w:eastAsia="Times New Roman" w:hAnsi="Calibri Light" w:cs="Calibri Light"/>
          <w:sz w:val="24"/>
          <w:szCs w:val="24"/>
          <w:lang w:eastAsia="en-IE"/>
        </w:rPr>
      </w:pPr>
      <w:r>
        <w:rPr>
          <w:rFonts w:ascii="Calibri Light" w:eastAsia="Times New Roman" w:hAnsi="Calibri Light" w:cs="Calibri Light"/>
          <w:sz w:val="24"/>
          <w:szCs w:val="24"/>
          <w:lang w:eastAsia="en-IE"/>
        </w:rPr>
        <w:t>After Comparing Such ITC There can be two Possibility:</w:t>
      </w:r>
    </w:p>
    <w:p w14:paraId="74970CDC" w14:textId="77777777" w:rsidR="00D20C1C" w:rsidRPr="00D20C1C" w:rsidRDefault="00D20C1C" w:rsidP="00D20C1C">
      <w:pPr>
        <w:pStyle w:val="ListParagraph"/>
        <w:rPr>
          <w:rFonts w:ascii="Calibri Light" w:eastAsia="Times New Roman" w:hAnsi="Calibri Light" w:cs="Calibri Light"/>
          <w:sz w:val="24"/>
          <w:szCs w:val="24"/>
          <w:lang w:eastAsia="en-IE"/>
        </w:rPr>
      </w:pPr>
    </w:p>
    <w:p w14:paraId="490FC232" w14:textId="604B2714" w:rsidR="004749D5" w:rsidRPr="00282D4D" w:rsidRDefault="00282D4D" w:rsidP="00282D4D">
      <w:pPr>
        <w:pStyle w:val="ListParagraph"/>
        <w:numPr>
          <w:ilvl w:val="1"/>
          <w:numId w:val="6"/>
        </w:numPr>
        <w:spacing w:after="0" w:line="240" w:lineRule="auto"/>
        <w:jc w:val="both"/>
        <w:rPr>
          <w:rFonts w:ascii="Comic Sans MS" w:eastAsia="Times New Roman" w:hAnsi="Comic Sans MS" w:cs="Calibri Light"/>
          <w:b/>
          <w:bCs/>
          <w:sz w:val="26"/>
          <w:szCs w:val="26"/>
          <w:lang w:eastAsia="en-IE"/>
        </w:rPr>
      </w:pPr>
      <w:r w:rsidRPr="00282D4D">
        <w:rPr>
          <w:rFonts w:ascii="Calibri Light" w:eastAsia="Times New Roman" w:hAnsi="Calibri Light" w:cs="Calibri Light"/>
          <w:sz w:val="24"/>
          <w:szCs w:val="24"/>
          <w:u w:val="single"/>
          <w:lang w:eastAsia="en-IE"/>
        </w:rPr>
        <w:t xml:space="preserve">Eligible </w:t>
      </w:r>
      <w:r w:rsidR="00D20C1C" w:rsidRPr="00282D4D">
        <w:rPr>
          <w:rFonts w:ascii="Calibri Light" w:eastAsia="Times New Roman" w:hAnsi="Calibri Light" w:cs="Calibri Light"/>
          <w:sz w:val="24"/>
          <w:szCs w:val="24"/>
          <w:u w:val="single"/>
          <w:lang w:eastAsia="en-IE"/>
        </w:rPr>
        <w:t>ITC as per Books of Accounts is Lower than that of ITC appearing in GSTR-2a of Taxpayer</w:t>
      </w:r>
      <w:r>
        <w:rPr>
          <w:rFonts w:ascii="Calibri Light" w:eastAsia="Times New Roman" w:hAnsi="Calibri Light" w:cs="Calibri Light"/>
          <w:sz w:val="24"/>
          <w:szCs w:val="24"/>
          <w:lang w:eastAsia="en-IE"/>
        </w:rPr>
        <w:t xml:space="preserve"> then there is No Question arise for applying this Rule. Taxpayer can take Full ITC as appearing in his Books of Accounts.</w:t>
      </w:r>
    </w:p>
    <w:p w14:paraId="3E271C28" w14:textId="77777777" w:rsidR="00282D4D" w:rsidRPr="00282D4D" w:rsidRDefault="00282D4D" w:rsidP="00282D4D">
      <w:pPr>
        <w:pStyle w:val="ListParagraph"/>
        <w:spacing w:after="0" w:line="240" w:lineRule="auto"/>
        <w:ind w:left="1440"/>
        <w:jc w:val="both"/>
        <w:rPr>
          <w:rFonts w:ascii="Comic Sans MS" w:eastAsia="Times New Roman" w:hAnsi="Comic Sans MS" w:cs="Calibri Light"/>
          <w:b/>
          <w:bCs/>
          <w:sz w:val="26"/>
          <w:szCs w:val="26"/>
          <w:lang w:eastAsia="en-IE"/>
        </w:rPr>
      </w:pPr>
    </w:p>
    <w:p w14:paraId="58F23E41" w14:textId="26204209" w:rsidR="00282D4D" w:rsidRPr="00282D4D" w:rsidRDefault="00282D4D" w:rsidP="00282D4D">
      <w:pPr>
        <w:pStyle w:val="ListParagraph"/>
        <w:numPr>
          <w:ilvl w:val="1"/>
          <w:numId w:val="6"/>
        </w:numPr>
        <w:spacing w:after="0" w:line="240" w:lineRule="auto"/>
        <w:jc w:val="both"/>
        <w:rPr>
          <w:rFonts w:ascii="Comic Sans MS" w:eastAsia="Times New Roman" w:hAnsi="Comic Sans MS" w:cs="Calibri Light"/>
          <w:b/>
          <w:bCs/>
          <w:sz w:val="26"/>
          <w:szCs w:val="26"/>
          <w:lang w:eastAsia="en-IE"/>
        </w:rPr>
      </w:pPr>
      <w:r w:rsidRPr="00282D4D">
        <w:rPr>
          <w:rFonts w:ascii="Calibri Light" w:eastAsia="Times New Roman" w:hAnsi="Calibri Light" w:cs="Calibri Light"/>
          <w:sz w:val="24"/>
          <w:szCs w:val="24"/>
          <w:u w:val="single"/>
          <w:lang w:eastAsia="en-IE"/>
        </w:rPr>
        <w:t xml:space="preserve">Eligible ITC as per Books of Accounts is </w:t>
      </w:r>
      <w:r>
        <w:rPr>
          <w:rFonts w:ascii="Calibri Light" w:eastAsia="Times New Roman" w:hAnsi="Calibri Light" w:cs="Calibri Light"/>
          <w:sz w:val="24"/>
          <w:szCs w:val="24"/>
          <w:u w:val="single"/>
          <w:lang w:eastAsia="en-IE"/>
        </w:rPr>
        <w:t>More</w:t>
      </w:r>
      <w:r w:rsidRPr="00282D4D">
        <w:rPr>
          <w:rFonts w:ascii="Calibri Light" w:eastAsia="Times New Roman" w:hAnsi="Calibri Light" w:cs="Calibri Light"/>
          <w:sz w:val="24"/>
          <w:szCs w:val="24"/>
          <w:u w:val="single"/>
          <w:lang w:eastAsia="en-IE"/>
        </w:rPr>
        <w:t xml:space="preserve"> than that of ITC appearing in GSTR-2a of Taxpayer</w:t>
      </w:r>
      <w:r>
        <w:rPr>
          <w:rFonts w:ascii="Calibri Light" w:eastAsia="Times New Roman" w:hAnsi="Calibri Light" w:cs="Calibri Light"/>
          <w:sz w:val="24"/>
          <w:szCs w:val="24"/>
          <w:lang w:eastAsia="en-IE"/>
        </w:rPr>
        <w:t xml:space="preserve"> then Taxpayer has to apply aforementioned Rule for availing ITC. In Such a Case there is Mismatch arise in relation to ITC as appearing in Books of Accounts and as taken in GSTR-3B. For tracking this Difference taxpayer have to Prepare Additional Documents for Such Difference and Make entries in Books of Accounts accordingly to Track Additional Credit which is Not Appearing in GSTR-2a which are Yet to be Taken.</w:t>
      </w:r>
    </w:p>
    <w:p w14:paraId="0832A459" w14:textId="77777777" w:rsidR="00282D4D" w:rsidRPr="00282D4D" w:rsidRDefault="00282D4D" w:rsidP="00282D4D">
      <w:pPr>
        <w:pStyle w:val="ListParagraph"/>
        <w:rPr>
          <w:rFonts w:ascii="Comic Sans MS" w:eastAsia="Times New Roman" w:hAnsi="Comic Sans MS" w:cs="Calibri Light"/>
          <w:b/>
          <w:bCs/>
          <w:sz w:val="26"/>
          <w:szCs w:val="26"/>
          <w:lang w:eastAsia="en-IE"/>
        </w:rPr>
      </w:pPr>
    </w:p>
    <w:p w14:paraId="0DC3FA2E" w14:textId="2767FD6C" w:rsidR="0016773E" w:rsidRDefault="00282D4D" w:rsidP="0016773E">
      <w:pPr>
        <w:pStyle w:val="ListParagraph"/>
        <w:numPr>
          <w:ilvl w:val="2"/>
          <w:numId w:val="6"/>
        </w:numPr>
        <w:spacing w:after="0" w:line="240" w:lineRule="auto"/>
        <w:ind w:left="1560"/>
        <w:jc w:val="both"/>
        <w:rPr>
          <w:rFonts w:ascii="Calibri Light" w:eastAsia="Times New Roman" w:hAnsi="Calibri Light" w:cs="Calibri Light"/>
          <w:sz w:val="24"/>
          <w:szCs w:val="24"/>
          <w:lang w:eastAsia="en-IE"/>
        </w:rPr>
      </w:pPr>
      <w:r w:rsidRPr="00282D4D">
        <w:rPr>
          <w:rFonts w:ascii="Calibri Light" w:eastAsia="Times New Roman" w:hAnsi="Calibri Light" w:cs="Calibri Light"/>
          <w:sz w:val="24"/>
          <w:szCs w:val="24"/>
          <w:lang w:eastAsia="en-IE"/>
        </w:rPr>
        <w:t>Taxpayer Can transfer Credit which is Yet to be taken in GST Control Account</w:t>
      </w:r>
      <w:r>
        <w:rPr>
          <w:rFonts w:ascii="Calibri Light" w:eastAsia="Times New Roman" w:hAnsi="Calibri Light" w:cs="Calibri Light"/>
          <w:sz w:val="24"/>
          <w:szCs w:val="24"/>
          <w:lang w:eastAsia="en-IE"/>
        </w:rPr>
        <w:t xml:space="preserve"> and Match Input Tax Credit as per GST Portal.</w:t>
      </w:r>
    </w:p>
    <w:p w14:paraId="5B71ED47" w14:textId="77777777" w:rsidR="002E4EB6" w:rsidRDefault="002E4EB6" w:rsidP="002E4EB6">
      <w:pPr>
        <w:pStyle w:val="ListParagraph"/>
        <w:spacing w:after="0" w:line="240" w:lineRule="auto"/>
        <w:ind w:left="1560"/>
        <w:jc w:val="both"/>
        <w:rPr>
          <w:rFonts w:ascii="Calibri Light" w:eastAsia="Times New Roman" w:hAnsi="Calibri Light" w:cs="Calibri Light"/>
          <w:sz w:val="24"/>
          <w:szCs w:val="24"/>
          <w:lang w:eastAsia="en-IE"/>
        </w:rPr>
      </w:pPr>
    </w:p>
    <w:p w14:paraId="0D4E1C55" w14:textId="56008605" w:rsidR="00282D4D" w:rsidRDefault="00282D4D" w:rsidP="0016773E">
      <w:pPr>
        <w:pStyle w:val="ListParagraph"/>
        <w:numPr>
          <w:ilvl w:val="2"/>
          <w:numId w:val="6"/>
        </w:numPr>
        <w:spacing w:after="0" w:line="240" w:lineRule="auto"/>
        <w:ind w:left="1560"/>
        <w:jc w:val="both"/>
        <w:rPr>
          <w:rFonts w:ascii="Calibri Light" w:eastAsia="Times New Roman" w:hAnsi="Calibri Light" w:cs="Calibri Light"/>
          <w:sz w:val="24"/>
          <w:szCs w:val="24"/>
          <w:lang w:eastAsia="en-IE"/>
        </w:rPr>
      </w:pPr>
      <w:r w:rsidRPr="0016773E">
        <w:rPr>
          <w:rFonts w:ascii="Calibri Light" w:eastAsia="Times New Roman" w:hAnsi="Calibri Light" w:cs="Calibri Light"/>
          <w:sz w:val="24"/>
          <w:szCs w:val="24"/>
          <w:lang w:eastAsia="en-IE"/>
        </w:rPr>
        <w:t>Subsequently if there is Higher Credit due to Reversal of Such Difference in Subsequent Months returns then taxpayer Can utilise Such Difference from GST Control Account</w:t>
      </w:r>
      <w:r w:rsidR="004B1BD7" w:rsidRPr="0016773E">
        <w:rPr>
          <w:rFonts w:ascii="Calibri Light" w:eastAsia="Times New Roman" w:hAnsi="Calibri Light" w:cs="Calibri Light"/>
          <w:sz w:val="24"/>
          <w:szCs w:val="24"/>
          <w:lang w:eastAsia="en-IE"/>
        </w:rPr>
        <w:t xml:space="preserve">. But Taxpayer needs to check Such ITC which is taken in Next Month that </w:t>
      </w:r>
      <w:r w:rsidR="004B1BD7" w:rsidRPr="003C2290">
        <w:rPr>
          <w:rFonts w:ascii="Calibri Light" w:eastAsia="Times New Roman" w:hAnsi="Calibri Light" w:cs="Calibri Light"/>
          <w:b/>
          <w:bCs/>
          <w:sz w:val="24"/>
          <w:szCs w:val="24"/>
          <w:u w:val="single"/>
          <w:lang w:eastAsia="en-IE"/>
        </w:rPr>
        <w:t>this ITC is not higher than the ITC appearing in GST Control Account.</w:t>
      </w:r>
      <w:r w:rsidR="004B1BD7" w:rsidRPr="0016773E">
        <w:rPr>
          <w:rFonts w:ascii="Calibri Light" w:eastAsia="Times New Roman" w:hAnsi="Calibri Light" w:cs="Calibri Light"/>
          <w:sz w:val="24"/>
          <w:szCs w:val="24"/>
          <w:lang w:eastAsia="en-IE"/>
        </w:rPr>
        <w:t xml:space="preserve"> Due to Creation of this Ledger </w:t>
      </w:r>
      <w:r w:rsidR="003C2290">
        <w:rPr>
          <w:rFonts w:ascii="Calibri Light" w:eastAsia="Times New Roman" w:hAnsi="Calibri Light" w:cs="Calibri Light"/>
          <w:sz w:val="24"/>
          <w:szCs w:val="24"/>
          <w:lang w:eastAsia="en-IE"/>
        </w:rPr>
        <w:t>i</w:t>
      </w:r>
      <w:r w:rsidR="004B1BD7" w:rsidRPr="0016773E">
        <w:rPr>
          <w:rFonts w:ascii="Calibri Light" w:eastAsia="Times New Roman" w:hAnsi="Calibri Light" w:cs="Calibri Light"/>
          <w:sz w:val="24"/>
          <w:szCs w:val="24"/>
          <w:lang w:eastAsia="en-IE"/>
        </w:rPr>
        <w:t xml:space="preserve">n Books of Accounts </w:t>
      </w:r>
      <w:r w:rsidR="003C2290">
        <w:rPr>
          <w:rFonts w:ascii="Calibri Light" w:eastAsia="Times New Roman" w:hAnsi="Calibri Light" w:cs="Calibri Light"/>
          <w:sz w:val="24"/>
          <w:szCs w:val="24"/>
          <w:lang w:eastAsia="en-IE"/>
        </w:rPr>
        <w:t>E</w:t>
      </w:r>
      <w:r w:rsidR="004B1BD7" w:rsidRPr="0016773E">
        <w:rPr>
          <w:rFonts w:ascii="Calibri Light" w:eastAsia="Times New Roman" w:hAnsi="Calibri Light" w:cs="Calibri Light"/>
          <w:sz w:val="24"/>
          <w:szCs w:val="24"/>
          <w:lang w:eastAsia="en-IE"/>
        </w:rPr>
        <w:t>rror of taking Excess ITC, Higher Interest on Such Excess ITC and Penalty for Wrong Availment of ITC can be avoided.</w:t>
      </w:r>
    </w:p>
    <w:p w14:paraId="6D224628" w14:textId="796736DB" w:rsidR="00F07885" w:rsidRDefault="00F07885" w:rsidP="00F07885">
      <w:pPr>
        <w:pStyle w:val="ListParagraph"/>
        <w:spacing w:after="0" w:line="240" w:lineRule="auto"/>
        <w:ind w:left="1440"/>
        <w:jc w:val="both"/>
        <w:rPr>
          <w:rFonts w:ascii="Calibri Light" w:eastAsia="Times New Roman" w:hAnsi="Calibri Light" w:cs="Calibri Light"/>
          <w:sz w:val="24"/>
          <w:szCs w:val="24"/>
          <w:lang w:eastAsia="en-IE"/>
        </w:rPr>
      </w:pPr>
    </w:p>
    <w:sectPr w:rsidR="00F078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C3D5B"/>
    <w:multiLevelType w:val="hybridMultilevel"/>
    <w:tmpl w:val="1338917A"/>
    <w:lvl w:ilvl="0" w:tplc="1809000B">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3FC5DE2"/>
    <w:multiLevelType w:val="hybridMultilevel"/>
    <w:tmpl w:val="FFA87560"/>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29EE3E23"/>
    <w:multiLevelType w:val="hybridMultilevel"/>
    <w:tmpl w:val="97B22920"/>
    <w:lvl w:ilvl="0" w:tplc="133C6C8C">
      <w:start w:val="1"/>
      <w:numFmt w:val="decimal"/>
      <w:lvlText w:val="%1."/>
      <w:lvlJc w:val="left"/>
      <w:pPr>
        <w:ind w:left="720" w:hanging="360"/>
      </w:pPr>
      <w:rPr>
        <w:rFonts w:cs="Calibri Light"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39717327"/>
    <w:multiLevelType w:val="hybridMultilevel"/>
    <w:tmpl w:val="04B29EA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56AB17A3"/>
    <w:multiLevelType w:val="hybridMultilevel"/>
    <w:tmpl w:val="97B22920"/>
    <w:lvl w:ilvl="0" w:tplc="133C6C8C">
      <w:start w:val="1"/>
      <w:numFmt w:val="decimal"/>
      <w:lvlText w:val="%1."/>
      <w:lvlJc w:val="left"/>
      <w:pPr>
        <w:ind w:left="720" w:hanging="360"/>
      </w:pPr>
      <w:rPr>
        <w:rFonts w:cs="Calibri Light"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7D6F4DED"/>
    <w:multiLevelType w:val="hybridMultilevel"/>
    <w:tmpl w:val="A22CF2D0"/>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AC9"/>
    <w:rsid w:val="00143134"/>
    <w:rsid w:val="0016773E"/>
    <w:rsid w:val="0023668B"/>
    <w:rsid w:val="00282D4D"/>
    <w:rsid w:val="00297AC9"/>
    <w:rsid w:val="002D0013"/>
    <w:rsid w:val="002E4EB6"/>
    <w:rsid w:val="00385F85"/>
    <w:rsid w:val="003A22FF"/>
    <w:rsid w:val="003C2290"/>
    <w:rsid w:val="004749D5"/>
    <w:rsid w:val="004B1BD7"/>
    <w:rsid w:val="00514044"/>
    <w:rsid w:val="00542531"/>
    <w:rsid w:val="00570E00"/>
    <w:rsid w:val="006D2265"/>
    <w:rsid w:val="00846143"/>
    <w:rsid w:val="00945EA9"/>
    <w:rsid w:val="009D7615"/>
    <w:rsid w:val="009E1682"/>
    <w:rsid w:val="00A374B8"/>
    <w:rsid w:val="00B61A44"/>
    <w:rsid w:val="00BA3757"/>
    <w:rsid w:val="00BB3C8A"/>
    <w:rsid w:val="00BE5FEA"/>
    <w:rsid w:val="00D20C1C"/>
    <w:rsid w:val="00DF049A"/>
    <w:rsid w:val="00E122AA"/>
    <w:rsid w:val="00E33BCE"/>
    <w:rsid w:val="00F0788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0B4BA"/>
  <w15:chartTrackingRefBased/>
  <w15:docId w15:val="{790BAF24-DA28-485A-9B6F-3544F5227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42531"/>
    <w:rPr>
      <w:color w:val="0000FF"/>
      <w:u w:val="single"/>
    </w:rPr>
  </w:style>
  <w:style w:type="character" w:styleId="UnresolvedMention">
    <w:name w:val="Unresolved Mention"/>
    <w:basedOn w:val="DefaultParagraphFont"/>
    <w:uiPriority w:val="99"/>
    <w:semiHidden/>
    <w:unhideWhenUsed/>
    <w:rsid w:val="00542531"/>
    <w:rPr>
      <w:color w:val="605E5C"/>
      <w:shd w:val="clear" w:color="auto" w:fill="E1DFDD"/>
    </w:rPr>
  </w:style>
  <w:style w:type="table" w:styleId="TableGrid">
    <w:name w:val="Table Grid"/>
    <w:basedOn w:val="TableNormal"/>
    <w:uiPriority w:val="39"/>
    <w:rsid w:val="005140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1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773309">
      <w:bodyDiv w:val="1"/>
      <w:marLeft w:val="0"/>
      <w:marRight w:val="0"/>
      <w:marTop w:val="0"/>
      <w:marBottom w:val="0"/>
      <w:divBdr>
        <w:top w:val="none" w:sz="0" w:space="0" w:color="auto"/>
        <w:left w:val="none" w:sz="0" w:space="0" w:color="auto"/>
        <w:bottom w:val="none" w:sz="0" w:space="0" w:color="auto"/>
        <w:right w:val="none" w:sz="0" w:space="0" w:color="auto"/>
      </w:divBdr>
      <w:divsChild>
        <w:div w:id="525367963">
          <w:marLeft w:val="0"/>
          <w:marRight w:val="0"/>
          <w:marTop w:val="0"/>
          <w:marBottom w:val="0"/>
          <w:divBdr>
            <w:top w:val="none" w:sz="0" w:space="0" w:color="auto"/>
            <w:left w:val="none" w:sz="0" w:space="0" w:color="auto"/>
            <w:bottom w:val="none" w:sz="0" w:space="0" w:color="auto"/>
            <w:right w:val="none" w:sz="0" w:space="0" w:color="auto"/>
          </w:divBdr>
        </w:div>
        <w:div w:id="869338867">
          <w:marLeft w:val="0"/>
          <w:marRight w:val="0"/>
          <w:marTop w:val="0"/>
          <w:marBottom w:val="0"/>
          <w:divBdr>
            <w:top w:val="none" w:sz="0" w:space="0" w:color="auto"/>
            <w:left w:val="none" w:sz="0" w:space="0" w:color="auto"/>
            <w:bottom w:val="none" w:sz="0" w:space="0" w:color="auto"/>
            <w:right w:val="none" w:sz="0" w:space="0" w:color="auto"/>
          </w:divBdr>
        </w:div>
        <w:div w:id="426659962">
          <w:marLeft w:val="0"/>
          <w:marRight w:val="0"/>
          <w:marTop w:val="0"/>
          <w:marBottom w:val="0"/>
          <w:divBdr>
            <w:top w:val="none" w:sz="0" w:space="0" w:color="auto"/>
            <w:left w:val="none" w:sz="0" w:space="0" w:color="auto"/>
            <w:bottom w:val="none" w:sz="0" w:space="0" w:color="auto"/>
            <w:right w:val="none" w:sz="0" w:space="0" w:color="auto"/>
          </w:divBdr>
        </w:div>
        <w:div w:id="1730299047">
          <w:marLeft w:val="0"/>
          <w:marRight w:val="0"/>
          <w:marTop w:val="0"/>
          <w:marBottom w:val="0"/>
          <w:divBdr>
            <w:top w:val="none" w:sz="0" w:space="0" w:color="auto"/>
            <w:left w:val="none" w:sz="0" w:space="0" w:color="auto"/>
            <w:bottom w:val="none" w:sz="0" w:space="0" w:color="auto"/>
            <w:right w:val="none" w:sz="0" w:space="0" w:color="auto"/>
          </w:divBdr>
        </w:div>
        <w:div w:id="1476874740">
          <w:marLeft w:val="0"/>
          <w:marRight w:val="0"/>
          <w:marTop w:val="0"/>
          <w:marBottom w:val="0"/>
          <w:divBdr>
            <w:top w:val="none" w:sz="0" w:space="0" w:color="auto"/>
            <w:left w:val="none" w:sz="0" w:space="0" w:color="auto"/>
            <w:bottom w:val="none" w:sz="0" w:space="0" w:color="auto"/>
            <w:right w:val="none" w:sz="0" w:space="0" w:color="auto"/>
          </w:divBdr>
        </w:div>
      </w:divsChild>
    </w:div>
    <w:div w:id="263465587">
      <w:bodyDiv w:val="1"/>
      <w:marLeft w:val="0"/>
      <w:marRight w:val="0"/>
      <w:marTop w:val="0"/>
      <w:marBottom w:val="0"/>
      <w:divBdr>
        <w:top w:val="none" w:sz="0" w:space="0" w:color="auto"/>
        <w:left w:val="none" w:sz="0" w:space="0" w:color="auto"/>
        <w:bottom w:val="none" w:sz="0" w:space="0" w:color="auto"/>
        <w:right w:val="none" w:sz="0" w:space="0" w:color="auto"/>
      </w:divBdr>
      <w:divsChild>
        <w:div w:id="1241256809">
          <w:marLeft w:val="0"/>
          <w:marRight w:val="0"/>
          <w:marTop w:val="0"/>
          <w:marBottom w:val="0"/>
          <w:divBdr>
            <w:top w:val="none" w:sz="0" w:space="0" w:color="auto"/>
            <w:left w:val="none" w:sz="0" w:space="0" w:color="auto"/>
            <w:bottom w:val="none" w:sz="0" w:space="0" w:color="auto"/>
            <w:right w:val="none" w:sz="0" w:space="0" w:color="auto"/>
          </w:divBdr>
        </w:div>
        <w:div w:id="1041052393">
          <w:marLeft w:val="0"/>
          <w:marRight w:val="0"/>
          <w:marTop w:val="0"/>
          <w:marBottom w:val="0"/>
          <w:divBdr>
            <w:top w:val="none" w:sz="0" w:space="0" w:color="auto"/>
            <w:left w:val="none" w:sz="0" w:space="0" w:color="auto"/>
            <w:bottom w:val="none" w:sz="0" w:space="0" w:color="auto"/>
            <w:right w:val="none" w:sz="0" w:space="0" w:color="auto"/>
          </w:divBdr>
        </w:div>
        <w:div w:id="525945355">
          <w:marLeft w:val="0"/>
          <w:marRight w:val="0"/>
          <w:marTop w:val="0"/>
          <w:marBottom w:val="0"/>
          <w:divBdr>
            <w:top w:val="none" w:sz="0" w:space="0" w:color="auto"/>
            <w:left w:val="none" w:sz="0" w:space="0" w:color="auto"/>
            <w:bottom w:val="none" w:sz="0" w:space="0" w:color="auto"/>
            <w:right w:val="none" w:sz="0" w:space="0" w:color="auto"/>
          </w:divBdr>
        </w:div>
        <w:div w:id="703017602">
          <w:marLeft w:val="0"/>
          <w:marRight w:val="0"/>
          <w:marTop w:val="0"/>
          <w:marBottom w:val="0"/>
          <w:divBdr>
            <w:top w:val="none" w:sz="0" w:space="0" w:color="auto"/>
            <w:left w:val="none" w:sz="0" w:space="0" w:color="auto"/>
            <w:bottom w:val="none" w:sz="0" w:space="0" w:color="auto"/>
            <w:right w:val="none" w:sz="0" w:space="0" w:color="auto"/>
          </w:divBdr>
        </w:div>
        <w:div w:id="799762711">
          <w:marLeft w:val="0"/>
          <w:marRight w:val="0"/>
          <w:marTop w:val="0"/>
          <w:marBottom w:val="0"/>
          <w:divBdr>
            <w:top w:val="none" w:sz="0" w:space="0" w:color="auto"/>
            <w:left w:val="none" w:sz="0" w:space="0" w:color="auto"/>
            <w:bottom w:val="none" w:sz="0" w:space="0" w:color="auto"/>
            <w:right w:val="none" w:sz="0" w:space="0" w:color="auto"/>
          </w:divBdr>
        </w:div>
        <w:div w:id="899634825">
          <w:marLeft w:val="0"/>
          <w:marRight w:val="0"/>
          <w:marTop w:val="0"/>
          <w:marBottom w:val="0"/>
          <w:divBdr>
            <w:top w:val="none" w:sz="0" w:space="0" w:color="auto"/>
            <w:left w:val="none" w:sz="0" w:space="0" w:color="auto"/>
            <w:bottom w:val="none" w:sz="0" w:space="0" w:color="auto"/>
            <w:right w:val="none" w:sz="0" w:space="0" w:color="auto"/>
          </w:divBdr>
        </w:div>
        <w:div w:id="1544902951">
          <w:marLeft w:val="0"/>
          <w:marRight w:val="0"/>
          <w:marTop w:val="0"/>
          <w:marBottom w:val="0"/>
          <w:divBdr>
            <w:top w:val="none" w:sz="0" w:space="0" w:color="auto"/>
            <w:left w:val="none" w:sz="0" w:space="0" w:color="auto"/>
            <w:bottom w:val="none" w:sz="0" w:space="0" w:color="auto"/>
            <w:right w:val="none" w:sz="0" w:space="0" w:color="auto"/>
          </w:divBdr>
        </w:div>
        <w:div w:id="1529681305">
          <w:marLeft w:val="0"/>
          <w:marRight w:val="0"/>
          <w:marTop w:val="0"/>
          <w:marBottom w:val="0"/>
          <w:divBdr>
            <w:top w:val="none" w:sz="0" w:space="0" w:color="auto"/>
            <w:left w:val="none" w:sz="0" w:space="0" w:color="auto"/>
            <w:bottom w:val="none" w:sz="0" w:space="0" w:color="auto"/>
            <w:right w:val="none" w:sz="0" w:space="0" w:color="auto"/>
          </w:divBdr>
        </w:div>
      </w:divsChild>
    </w:div>
    <w:div w:id="612708799">
      <w:bodyDiv w:val="1"/>
      <w:marLeft w:val="0"/>
      <w:marRight w:val="0"/>
      <w:marTop w:val="0"/>
      <w:marBottom w:val="0"/>
      <w:divBdr>
        <w:top w:val="none" w:sz="0" w:space="0" w:color="auto"/>
        <w:left w:val="none" w:sz="0" w:space="0" w:color="auto"/>
        <w:bottom w:val="none" w:sz="0" w:space="0" w:color="auto"/>
        <w:right w:val="none" w:sz="0" w:space="0" w:color="auto"/>
      </w:divBdr>
      <w:divsChild>
        <w:div w:id="917791452">
          <w:marLeft w:val="0"/>
          <w:marRight w:val="0"/>
          <w:marTop w:val="0"/>
          <w:marBottom w:val="0"/>
          <w:divBdr>
            <w:top w:val="none" w:sz="0" w:space="0" w:color="auto"/>
            <w:left w:val="none" w:sz="0" w:space="0" w:color="auto"/>
            <w:bottom w:val="none" w:sz="0" w:space="0" w:color="auto"/>
            <w:right w:val="none" w:sz="0" w:space="0" w:color="auto"/>
          </w:divBdr>
        </w:div>
      </w:divsChild>
    </w:div>
    <w:div w:id="986669450">
      <w:bodyDiv w:val="1"/>
      <w:marLeft w:val="0"/>
      <w:marRight w:val="0"/>
      <w:marTop w:val="0"/>
      <w:marBottom w:val="0"/>
      <w:divBdr>
        <w:top w:val="none" w:sz="0" w:space="0" w:color="auto"/>
        <w:left w:val="none" w:sz="0" w:space="0" w:color="auto"/>
        <w:bottom w:val="none" w:sz="0" w:space="0" w:color="auto"/>
        <w:right w:val="none" w:sz="0" w:space="0" w:color="auto"/>
      </w:divBdr>
      <w:divsChild>
        <w:div w:id="592053293">
          <w:marLeft w:val="0"/>
          <w:marRight w:val="0"/>
          <w:marTop w:val="0"/>
          <w:marBottom w:val="0"/>
          <w:divBdr>
            <w:top w:val="none" w:sz="0" w:space="0" w:color="auto"/>
            <w:left w:val="none" w:sz="0" w:space="0" w:color="auto"/>
            <w:bottom w:val="none" w:sz="0" w:space="0" w:color="auto"/>
            <w:right w:val="none" w:sz="0" w:space="0" w:color="auto"/>
          </w:divBdr>
        </w:div>
      </w:divsChild>
    </w:div>
    <w:div w:id="1401441273">
      <w:bodyDiv w:val="1"/>
      <w:marLeft w:val="0"/>
      <w:marRight w:val="0"/>
      <w:marTop w:val="0"/>
      <w:marBottom w:val="0"/>
      <w:divBdr>
        <w:top w:val="none" w:sz="0" w:space="0" w:color="auto"/>
        <w:left w:val="none" w:sz="0" w:space="0" w:color="auto"/>
        <w:bottom w:val="none" w:sz="0" w:space="0" w:color="auto"/>
        <w:right w:val="none" w:sz="0" w:space="0" w:color="auto"/>
      </w:divBdr>
      <w:divsChild>
        <w:div w:id="1578859541">
          <w:marLeft w:val="0"/>
          <w:marRight w:val="0"/>
          <w:marTop w:val="0"/>
          <w:marBottom w:val="0"/>
          <w:divBdr>
            <w:top w:val="none" w:sz="0" w:space="0" w:color="auto"/>
            <w:left w:val="none" w:sz="0" w:space="0" w:color="auto"/>
            <w:bottom w:val="none" w:sz="0" w:space="0" w:color="auto"/>
            <w:right w:val="none" w:sz="0" w:space="0" w:color="auto"/>
          </w:divBdr>
        </w:div>
        <w:div w:id="1560674730">
          <w:marLeft w:val="0"/>
          <w:marRight w:val="0"/>
          <w:marTop w:val="0"/>
          <w:marBottom w:val="0"/>
          <w:divBdr>
            <w:top w:val="none" w:sz="0" w:space="0" w:color="auto"/>
            <w:left w:val="none" w:sz="0" w:space="0" w:color="auto"/>
            <w:bottom w:val="none" w:sz="0" w:space="0" w:color="auto"/>
            <w:right w:val="none" w:sz="0" w:space="0" w:color="auto"/>
          </w:divBdr>
        </w:div>
        <w:div w:id="1783720623">
          <w:marLeft w:val="0"/>
          <w:marRight w:val="0"/>
          <w:marTop w:val="0"/>
          <w:marBottom w:val="0"/>
          <w:divBdr>
            <w:top w:val="none" w:sz="0" w:space="0" w:color="auto"/>
            <w:left w:val="none" w:sz="0" w:space="0" w:color="auto"/>
            <w:bottom w:val="none" w:sz="0" w:space="0" w:color="auto"/>
            <w:right w:val="none" w:sz="0" w:space="0" w:color="auto"/>
          </w:divBdr>
        </w:div>
        <w:div w:id="1805856146">
          <w:marLeft w:val="0"/>
          <w:marRight w:val="0"/>
          <w:marTop w:val="0"/>
          <w:marBottom w:val="0"/>
          <w:divBdr>
            <w:top w:val="none" w:sz="0" w:space="0" w:color="auto"/>
            <w:left w:val="none" w:sz="0" w:space="0" w:color="auto"/>
            <w:bottom w:val="none" w:sz="0" w:space="0" w:color="auto"/>
            <w:right w:val="none" w:sz="0" w:space="0" w:color="auto"/>
          </w:divBdr>
        </w:div>
        <w:div w:id="1634095088">
          <w:marLeft w:val="0"/>
          <w:marRight w:val="0"/>
          <w:marTop w:val="0"/>
          <w:marBottom w:val="0"/>
          <w:divBdr>
            <w:top w:val="none" w:sz="0" w:space="0" w:color="auto"/>
            <w:left w:val="none" w:sz="0" w:space="0" w:color="auto"/>
            <w:bottom w:val="none" w:sz="0" w:space="0" w:color="auto"/>
            <w:right w:val="none" w:sz="0" w:space="0" w:color="auto"/>
          </w:divBdr>
        </w:div>
        <w:div w:id="1415513530">
          <w:marLeft w:val="0"/>
          <w:marRight w:val="0"/>
          <w:marTop w:val="0"/>
          <w:marBottom w:val="0"/>
          <w:divBdr>
            <w:top w:val="none" w:sz="0" w:space="0" w:color="auto"/>
            <w:left w:val="none" w:sz="0" w:space="0" w:color="auto"/>
            <w:bottom w:val="none" w:sz="0" w:space="0" w:color="auto"/>
            <w:right w:val="none" w:sz="0" w:space="0" w:color="auto"/>
          </w:divBdr>
        </w:div>
        <w:div w:id="921183412">
          <w:marLeft w:val="0"/>
          <w:marRight w:val="0"/>
          <w:marTop w:val="0"/>
          <w:marBottom w:val="0"/>
          <w:divBdr>
            <w:top w:val="none" w:sz="0" w:space="0" w:color="auto"/>
            <w:left w:val="none" w:sz="0" w:space="0" w:color="auto"/>
            <w:bottom w:val="none" w:sz="0" w:space="0" w:color="auto"/>
            <w:right w:val="none" w:sz="0" w:space="0" w:color="auto"/>
          </w:divBdr>
        </w:div>
        <w:div w:id="546373805">
          <w:marLeft w:val="0"/>
          <w:marRight w:val="0"/>
          <w:marTop w:val="0"/>
          <w:marBottom w:val="0"/>
          <w:divBdr>
            <w:top w:val="none" w:sz="0" w:space="0" w:color="auto"/>
            <w:left w:val="none" w:sz="0" w:space="0" w:color="auto"/>
            <w:bottom w:val="none" w:sz="0" w:space="0" w:color="auto"/>
            <w:right w:val="none" w:sz="0" w:space="0" w:color="auto"/>
          </w:divBdr>
        </w:div>
        <w:div w:id="2138332960">
          <w:marLeft w:val="0"/>
          <w:marRight w:val="0"/>
          <w:marTop w:val="0"/>
          <w:marBottom w:val="0"/>
          <w:divBdr>
            <w:top w:val="none" w:sz="0" w:space="0" w:color="auto"/>
            <w:left w:val="none" w:sz="0" w:space="0" w:color="auto"/>
            <w:bottom w:val="none" w:sz="0" w:space="0" w:color="auto"/>
            <w:right w:val="none" w:sz="0" w:space="0" w:color="auto"/>
          </w:divBdr>
        </w:div>
        <w:div w:id="1971545776">
          <w:marLeft w:val="0"/>
          <w:marRight w:val="0"/>
          <w:marTop w:val="0"/>
          <w:marBottom w:val="0"/>
          <w:divBdr>
            <w:top w:val="none" w:sz="0" w:space="0" w:color="auto"/>
            <w:left w:val="none" w:sz="0" w:space="0" w:color="auto"/>
            <w:bottom w:val="none" w:sz="0" w:space="0" w:color="auto"/>
            <w:right w:val="none" w:sz="0" w:space="0" w:color="auto"/>
          </w:divBdr>
        </w:div>
        <w:div w:id="151024238">
          <w:marLeft w:val="0"/>
          <w:marRight w:val="0"/>
          <w:marTop w:val="0"/>
          <w:marBottom w:val="0"/>
          <w:divBdr>
            <w:top w:val="none" w:sz="0" w:space="0" w:color="auto"/>
            <w:left w:val="none" w:sz="0" w:space="0" w:color="auto"/>
            <w:bottom w:val="none" w:sz="0" w:space="0" w:color="auto"/>
            <w:right w:val="none" w:sz="0" w:space="0" w:color="auto"/>
          </w:divBdr>
        </w:div>
        <w:div w:id="86466750">
          <w:marLeft w:val="0"/>
          <w:marRight w:val="0"/>
          <w:marTop w:val="0"/>
          <w:marBottom w:val="0"/>
          <w:divBdr>
            <w:top w:val="none" w:sz="0" w:space="0" w:color="auto"/>
            <w:left w:val="none" w:sz="0" w:space="0" w:color="auto"/>
            <w:bottom w:val="none" w:sz="0" w:space="0" w:color="auto"/>
            <w:right w:val="none" w:sz="0" w:space="0" w:color="auto"/>
          </w:divBdr>
        </w:div>
        <w:div w:id="1963338884">
          <w:marLeft w:val="0"/>
          <w:marRight w:val="0"/>
          <w:marTop w:val="0"/>
          <w:marBottom w:val="0"/>
          <w:divBdr>
            <w:top w:val="none" w:sz="0" w:space="0" w:color="auto"/>
            <w:left w:val="none" w:sz="0" w:space="0" w:color="auto"/>
            <w:bottom w:val="none" w:sz="0" w:space="0" w:color="auto"/>
            <w:right w:val="none" w:sz="0" w:space="0" w:color="auto"/>
          </w:divBdr>
        </w:div>
        <w:div w:id="1380588053">
          <w:marLeft w:val="0"/>
          <w:marRight w:val="0"/>
          <w:marTop w:val="0"/>
          <w:marBottom w:val="0"/>
          <w:divBdr>
            <w:top w:val="none" w:sz="0" w:space="0" w:color="auto"/>
            <w:left w:val="none" w:sz="0" w:space="0" w:color="auto"/>
            <w:bottom w:val="none" w:sz="0" w:space="0" w:color="auto"/>
            <w:right w:val="none" w:sz="0" w:space="0" w:color="auto"/>
          </w:divBdr>
        </w:div>
        <w:div w:id="445588700">
          <w:marLeft w:val="0"/>
          <w:marRight w:val="0"/>
          <w:marTop w:val="0"/>
          <w:marBottom w:val="0"/>
          <w:divBdr>
            <w:top w:val="none" w:sz="0" w:space="0" w:color="auto"/>
            <w:left w:val="none" w:sz="0" w:space="0" w:color="auto"/>
            <w:bottom w:val="none" w:sz="0" w:space="0" w:color="auto"/>
            <w:right w:val="none" w:sz="0" w:space="0" w:color="auto"/>
          </w:divBdr>
        </w:div>
        <w:div w:id="332496269">
          <w:marLeft w:val="0"/>
          <w:marRight w:val="0"/>
          <w:marTop w:val="0"/>
          <w:marBottom w:val="0"/>
          <w:divBdr>
            <w:top w:val="none" w:sz="0" w:space="0" w:color="auto"/>
            <w:left w:val="none" w:sz="0" w:space="0" w:color="auto"/>
            <w:bottom w:val="none" w:sz="0" w:space="0" w:color="auto"/>
            <w:right w:val="none" w:sz="0" w:space="0" w:color="auto"/>
          </w:divBdr>
        </w:div>
        <w:div w:id="962154315">
          <w:marLeft w:val="0"/>
          <w:marRight w:val="0"/>
          <w:marTop w:val="0"/>
          <w:marBottom w:val="0"/>
          <w:divBdr>
            <w:top w:val="none" w:sz="0" w:space="0" w:color="auto"/>
            <w:left w:val="none" w:sz="0" w:space="0" w:color="auto"/>
            <w:bottom w:val="none" w:sz="0" w:space="0" w:color="auto"/>
            <w:right w:val="none" w:sz="0" w:space="0" w:color="auto"/>
          </w:divBdr>
        </w:div>
        <w:div w:id="274872516">
          <w:marLeft w:val="0"/>
          <w:marRight w:val="0"/>
          <w:marTop w:val="0"/>
          <w:marBottom w:val="0"/>
          <w:divBdr>
            <w:top w:val="none" w:sz="0" w:space="0" w:color="auto"/>
            <w:left w:val="none" w:sz="0" w:space="0" w:color="auto"/>
            <w:bottom w:val="none" w:sz="0" w:space="0" w:color="auto"/>
            <w:right w:val="none" w:sz="0" w:space="0" w:color="auto"/>
          </w:divBdr>
        </w:div>
        <w:div w:id="1629051430">
          <w:marLeft w:val="0"/>
          <w:marRight w:val="0"/>
          <w:marTop w:val="0"/>
          <w:marBottom w:val="0"/>
          <w:divBdr>
            <w:top w:val="none" w:sz="0" w:space="0" w:color="auto"/>
            <w:left w:val="none" w:sz="0" w:space="0" w:color="auto"/>
            <w:bottom w:val="none" w:sz="0" w:space="0" w:color="auto"/>
            <w:right w:val="none" w:sz="0" w:space="0" w:color="auto"/>
          </w:divBdr>
        </w:div>
        <w:div w:id="2089962688">
          <w:marLeft w:val="0"/>
          <w:marRight w:val="0"/>
          <w:marTop w:val="0"/>
          <w:marBottom w:val="0"/>
          <w:divBdr>
            <w:top w:val="none" w:sz="0" w:space="0" w:color="auto"/>
            <w:left w:val="none" w:sz="0" w:space="0" w:color="auto"/>
            <w:bottom w:val="none" w:sz="0" w:space="0" w:color="auto"/>
            <w:right w:val="none" w:sz="0" w:space="0" w:color="auto"/>
          </w:divBdr>
        </w:div>
        <w:div w:id="14579486">
          <w:marLeft w:val="0"/>
          <w:marRight w:val="0"/>
          <w:marTop w:val="0"/>
          <w:marBottom w:val="0"/>
          <w:divBdr>
            <w:top w:val="none" w:sz="0" w:space="0" w:color="auto"/>
            <w:left w:val="none" w:sz="0" w:space="0" w:color="auto"/>
            <w:bottom w:val="none" w:sz="0" w:space="0" w:color="auto"/>
            <w:right w:val="none" w:sz="0" w:space="0" w:color="auto"/>
          </w:divBdr>
        </w:div>
        <w:div w:id="1617054839">
          <w:marLeft w:val="0"/>
          <w:marRight w:val="0"/>
          <w:marTop w:val="0"/>
          <w:marBottom w:val="0"/>
          <w:divBdr>
            <w:top w:val="none" w:sz="0" w:space="0" w:color="auto"/>
            <w:left w:val="none" w:sz="0" w:space="0" w:color="auto"/>
            <w:bottom w:val="none" w:sz="0" w:space="0" w:color="auto"/>
            <w:right w:val="none" w:sz="0" w:space="0" w:color="auto"/>
          </w:divBdr>
        </w:div>
        <w:div w:id="462584188">
          <w:marLeft w:val="0"/>
          <w:marRight w:val="0"/>
          <w:marTop w:val="0"/>
          <w:marBottom w:val="0"/>
          <w:divBdr>
            <w:top w:val="none" w:sz="0" w:space="0" w:color="auto"/>
            <w:left w:val="none" w:sz="0" w:space="0" w:color="auto"/>
            <w:bottom w:val="none" w:sz="0" w:space="0" w:color="auto"/>
            <w:right w:val="none" w:sz="0" w:space="0" w:color="auto"/>
          </w:divBdr>
        </w:div>
        <w:div w:id="689841837">
          <w:marLeft w:val="0"/>
          <w:marRight w:val="0"/>
          <w:marTop w:val="0"/>
          <w:marBottom w:val="0"/>
          <w:divBdr>
            <w:top w:val="none" w:sz="0" w:space="0" w:color="auto"/>
            <w:left w:val="none" w:sz="0" w:space="0" w:color="auto"/>
            <w:bottom w:val="none" w:sz="0" w:space="0" w:color="auto"/>
            <w:right w:val="none" w:sz="0" w:space="0" w:color="auto"/>
          </w:divBdr>
        </w:div>
        <w:div w:id="1216772105">
          <w:marLeft w:val="0"/>
          <w:marRight w:val="0"/>
          <w:marTop w:val="0"/>
          <w:marBottom w:val="0"/>
          <w:divBdr>
            <w:top w:val="none" w:sz="0" w:space="0" w:color="auto"/>
            <w:left w:val="none" w:sz="0" w:space="0" w:color="auto"/>
            <w:bottom w:val="none" w:sz="0" w:space="0" w:color="auto"/>
            <w:right w:val="none" w:sz="0" w:space="0" w:color="auto"/>
          </w:divBdr>
        </w:div>
        <w:div w:id="587924949">
          <w:marLeft w:val="0"/>
          <w:marRight w:val="0"/>
          <w:marTop w:val="0"/>
          <w:marBottom w:val="0"/>
          <w:divBdr>
            <w:top w:val="none" w:sz="0" w:space="0" w:color="auto"/>
            <w:left w:val="none" w:sz="0" w:space="0" w:color="auto"/>
            <w:bottom w:val="none" w:sz="0" w:space="0" w:color="auto"/>
            <w:right w:val="none" w:sz="0" w:space="0" w:color="auto"/>
          </w:divBdr>
        </w:div>
        <w:div w:id="986015480">
          <w:marLeft w:val="0"/>
          <w:marRight w:val="0"/>
          <w:marTop w:val="0"/>
          <w:marBottom w:val="0"/>
          <w:divBdr>
            <w:top w:val="none" w:sz="0" w:space="0" w:color="auto"/>
            <w:left w:val="none" w:sz="0" w:space="0" w:color="auto"/>
            <w:bottom w:val="none" w:sz="0" w:space="0" w:color="auto"/>
            <w:right w:val="none" w:sz="0" w:space="0" w:color="auto"/>
          </w:divBdr>
        </w:div>
      </w:divsChild>
    </w:div>
    <w:div w:id="1465924434">
      <w:bodyDiv w:val="1"/>
      <w:marLeft w:val="0"/>
      <w:marRight w:val="0"/>
      <w:marTop w:val="0"/>
      <w:marBottom w:val="0"/>
      <w:divBdr>
        <w:top w:val="none" w:sz="0" w:space="0" w:color="auto"/>
        <w:left w:val="none" w:sz="0" w:space="0" w:color="auto"/>
        <w:bottom w:val="none" w:sz="0" w:space="0" w:color="auto"/>
        <w:right w:val="none" w:sz="0" w:space="0" w:color="auto"/>
      </w:divBdr>
      <w:divsChild>
        <w:div w:id="904678995">
          <w:marLeft w:val="0"/>
          <w:marRight w:val="0"/>
          <w:marTop w:val="0"/>
          <w:marBottom w:val="0"/>
          <w:divBdr>
            <w:top w:val="none" w:sz="0" w:space="0" w:color="auto"/>
            <w:left w:val="none" w:sz="0" w:space="0" w:color="auto"/>
            <w:bottom w:val="none" w:sz="0" w:space="0" w:color="auto"/>
            <w:right w:val="none" w:sz="0" w:space="0" w:color="auto"/>
          </w:divBdr>
        </w:div>
      </w:divsChild>
    </w:div>
    <w:div w:id="1487162110">
      <w:bodyDiv w:val="1"/>
      <w:marLeft w:val="0"/>
      <w:marRight w:val="0"/>
      <w:marTop w:val="0"/>
      <w:marBottom w:val="0"/>
      <w:divBdr>
        <w:top w:val="none" w:sz="0" w:space="0" w:color="auto"/>
        <w:left w:val="none" w:sz="0" w:space="0" w:color="auto"/>
        <w:bottom w:val="none" w:sz="0" w:space="0" w:color="auto"/>
        <w:right w:val="none" w:sz="0" w:space="0" w:color="auto"/>
      </w:divBdr>
      <w:divsChild>
        <w:div w:id="877744762">
          <w:marLeft w:val="0"/>
          <w:marRight w:val="0"/>
          <w:marTop w:val="0"/>
          <w:marBottom w:val="0"/>
          <w:divBdr>
            <w:top w:val="none" w:sz="0" w:space="0" w:color="auto"/>
            <w:left w:val="none" w:sz="0" w:space="0" w:color="auto"/>
            <w:bottom w:val="none" w:sz="0" w:space="0" w:color="auto"/>
            <w:right w:val="none" w:sz="0" w:space="0" w:color="auto"/>
          </w:divBdr>
        </w:div>
        <w:div w:id="603420559">
          <w:marLeft w:val="0"/>
          <w:marRight w:val="0"/>
          <w:marTop w:val="0"/>
          <w:marBottom w:val="0"/>
          <w:divBdr>
            <w:top w:val="none" w:sz="0" w:space="0" w:color="auto"/>
            <w:left w:val="none" w:sz="0" w:space="0" w:color="auto"/>
            <w:bottom w:val="none" w:sz="0" w:space="0" w:color="auto"/>
            <w:right w:val="none" w:sz="0" w:space="0" w:color="auto"/>
          </w:divBdr>
        </w:div>
        <w:div w:id="13273962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2</Pages>
  <Words>599</Words>
  <Characters>3418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Ashok Mali</dc:creator>
  <cp:keywords/>
  <dc:description/>
  <cp:lastModifiedBy>Ashok Mali</cp:lastModifiedBy>
  <cp:revision>22</cp:revision>
  <dcterms:created xsi:type="dcterms:W3CDTF">2020-10-14T12:35:00Z</dcterms:created>
  <dcterms:modified xsi:type="dcterms:W3CDTF">2020-10-14T14:20:00Z</dcterms:modified>
</cp:coreProperties>
</file>